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noProof/>
          <w:color w:val="000000"/>
          <w:sz w:val="20"/>
          <w:szCs w:val="20"/>
        </w:rPr>
        <w:drawing>
          <wp:inline distT="0" distB="0" distL="0" distR="0">
            <wp:extent cx="511810" cy="614045"/>
            <wp:effectExtent l="0" t="0" r="0" b="0"/>
            <wp:docPr id="2" name="image1.png" descr="logo_ufp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logo_ufpa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1810" cy="6140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B7F96" w:rsidRDefault="00BB7F96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UNIVERSIDADE FEDERAL DO PARÁ</w:t>
      </w: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PRÓ-REITORIA DE ADMINISTRAÇÃO</w:t>
      </w: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center" w:pos="4419"/>
          <w:tab w:val="right" w:pos="8838"/>
        </w:tabs>
        <w:spacing w:after="0" w:line="240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COMISSÃO PERMANENTE DE LICITAÇÃO</w:t>
      </w:r>
    </w:p>
    <w:p w:rsidR="00BB7F96" w:rsidRDefault="00BB7F96">
      <w:pPr>
        <w:rPr>
          <w:rFonts w:ascii="Arial" w:eastAsia="Arial" w:hAnsi="Arial" w:cs="Arial"/>
          <w:b/>
          <w:sz w:val="20"/>
          <w:szCs w:val="20"/>
        </w:rPr>
      </w:pPr>
    </w:p>
    <w:p w:rsidR="00BB7F96" w:rsidRDefault="00B218A5">
      <w:pPr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ANEXO II</w:t>
      </w:r>
    </w:p>
    <w:p w:rsidR="00BB7F96" w:rsidRDefault="00B218A5">
      <w:pP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INSTRUMENTO DE MEDIÇÃO E RESULTADO</w:t>
      </w:r>
      <w:proofErr w:type="gramStart"/>
      <w:r>
        <w:rPr>
          <w:rFonts w:ascii="Arial" w:eastAsia="Arial" w:hAnsi="Arial" w:cs="Arial"/>
          <w:b/>
          <w:color w:val="000000"/>
          <w:sz w:val="20"/>
          <w:szCs w:val="20"/>
        </w:rPr>
        <w:t>-  IMR</w:t>
      </w:r>
      <w:proofErr w:type="gramEnd"/>
    </w:p>
    <w:p w:rsidR="00BB7F96" w:rsidRDefault="00BB7F96">
      <w:pPr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BB7F96" w:rsidRDefault="00B21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left="0" w:firstLine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Justificativa para a adoção do IMR: todos os serviços contratados devem ser executados nos moldes das regras previstas no instrumento convocatório, proposta, contrato e </w:t>
      </w:r>
      <w:r w:rsidRPr="00B218A5">
        <w:rPr>
          <w:rFonts w:ascii="Arial" w:eastAsia="Arial" w:hAnsi="Arial" w:cs="Arial"/>
          <w:sz w:val="18"/>
          <w:szCs w:val="18"/>
        </w:rPr>
        <w:t xml:space="preserve">legislação </w:t>
      </w:r>
      <w:r w:rsidRPr="00B218A5">
        <w:rPr>
          <w:rFonts w:ascii="Arial" w:eastAsia="Arial" w:hAnsi="Arial" w:cs="Arial"/>
          <w:sz w:val="18"/>
          <w:szCs w:val="18"/>
        </w:rPr>
        <w:t>vigente</w:t>
      </w:r>
      <w:r w:rsidRPr="00B218A5"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z w:val="18"/>
          <w:szCs w:val="18"/>
        </w:rPr>
        <w:t>conforme estabelecido no art. 67, da Lei nº 8666/93. Havendo falhas na execução dos serviços (inadimplemento), seja parcial ou total, devem ser aplicadas as sanções previstas em lei, inclusive com possibilidade de rescisão contratual, em casos mais extre</w:t>
      </w:r>
      <w:r>
        <w:rPr>
          <w:rFonts w:ascii="Arial" w:eastAsia="Arial" w:hAnsi="Arial" w:cs="Arial"/>
          <w:color w:val="000000"/>
          <w:sz w:val="18"/>
          <w:szCs w:val="18"/>
        </w:rPr>
        <w:t>mos. Entretanto, no caso de alguns tipos de serviços, mesmo não havendo inadimplemento na execução, não se mostra adequado que o pagamento seja realizado na sua totalidade quando o serviço não é prestado com o nível de qualidade previsto. Ou seja, o serviç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 é prestado, mas ao aferir o resultado, a Administração constata um nível de qualidade na prestação menor que o esperado. Diante disto, foi necessário, para o alcance dessa diretriz, o estabelecimento de condições objetivas NO PRESENTE ANEXO, que servirá </w:t>
      </w:r>
      <w:r>
        <w:rPr>
          <w:rFonts w:ascii="Arial" w:eastAsia="Arial" w:hAnsi="Arial" w:cs="Arial"/>
          <w:color w:val="000000"/>
          <w:sz w:val="18"/>
          <w:szCs w:val="18"/>
        </w:rPr>
        <w:t>para aferição, não somente da quantidade, modo e tempo, mas também da qualidade do serviço prestado. Nessas situações, o pagamento deve ser feito com base nesta análise e, caso a contratada incorra em nível inaceitável na prestação dos serviços, além de te</w:t>
      </w:r>
      <w:r>
        <w:rPr>
          <w:rFonts w:ascii="Arial" w:eastAsia="Arial" w:hAnsi="Arial" w:cs="Arial"/>
          <w:color w:val="000000"/>
          <w:sz w:val="18"/>
          <w:szCs w:val="18"/>
        </w:rPr>
        <w:t>r o pagamento redimensionado, será punida pelas sanções previstas conforme grau de inadimplemento.</w:t>
      </w:r>
    </w:p>
    <w:p w:rsidR="00BB7F96" w:rsidRDefault="00BB7F9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BB7F96" w:rsidRDefault="00B21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left="0" w:firstLine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 Instrumento de Medição de Resultado – IMR será parte integrante do contrato e constará conforme modelo abaixo:</w:t>
      </w: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A </w:t>
      </w:r>
      <w:r>
        <w:rPr>
          <w:rFonts w:ascii="Arial" w:eastAsia="Arial" w:hAnsi="Arial" w:cs="Arial"/>
          <w:b/>
          <w:color w:val="000000"/>
          <w:sz w:val="20"/>
          <w:szCs w:val="20"/>
        </w:rPr>
        <w:t>União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por intermédio da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Universidade Federal do Pará, CNPJ n.º 34.627.748/0001-23, </w:t>
      </w:r>
      <w:r>
        <w:rPr>
          <w:rFonts w:ascii="Arial" w:eastAsia="Arial" w:hAnsi="Arial" w:cs="Arial"/>
          <w:color w:val="000000"/>
          <w:sz w:val="20"/>
          <w:szCs w:val="20"/>
        </w:rPr>
        <w:t>com sede na rua Augusto Corrêa nº 01, Bairro Guamá – Bel</w:t>
      </w:r>
      <w:r>
        <w:rPr>
          <w:rFonts w:ascii="Arial" w:eastAsia="Arial" w:hAnsi="Arial" w:cs="Arial"/>
          <w:color w:val="000000"/>
          <w:sz w:val="20"/>
          <w:szCs w:val="20"/>
        </w:rPr>
        <w:t>ém/PA,</w:t>
      </w: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representado neste ato pela ________________________________, em </w:t>
      </w:r>
      <w:r>
        <w:rPr>
          <w:rFonts w:ascii="Arial" w:eastAsia="Arial" w:hAnsi="Arial" w:cs="Arial"/>
          <w:sz w:val="20"/>
          <w:szCs w:val="20"/>
        </w:rPr>
        <w:t>sequência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denominada simplesmente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Contratante; </w:t>
      </w:r>
      <w:r>
        <w:rPr>
          <w:rFonts w:ascii="Arial" w:eastAsia="Arial" w:hAnsi="Arial" w:cs="Arial"/>
          <w:color w:val="000000"/>
          <w:sz w:val="20"/>
          <w:szCs w:val="20"/>
        </w:rPr>
        <w:t>e a pessoa jurídica __________________________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, </w:t>
      </w:r>
      <w:r>
        <w:rPr>
          <w:rFonts w:ascii="Arial" w:eastAsia="Arial" w:hAnsi="Arial" w:cs="Arial"/>
          <w:color w:val="000000"/>
          <w:sz w:val="20"/>
          <w:szCs w:val="20"/>
        </w:rPr>
        <w:t>CNPJ n.º _______________,</w:t>
      </w:r>
      <w:r>
        <w:rPr>
          <w:rFonts w:ascii="Arial" w:eastAsia="Arial" w:hAnsi="Arial" w:cs="Arial"/>
          <w:color w:val="000000"/>
          <w:sz w:val="20"/>
          <w:szCs w:val="20"/>
        </w:rPr>
        <w:br/>
        <w:t>com sede na ________________________________________, neste ato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representada por</w:t>
      </w:r>
      <w:r>
        <w:rPr>
          <w:rFonts w:ascii="Arial" w:eastAsia="Arial" w:hAnsi="Arial" w:cs="Arial"/>
          <w:color w:val="000000"/>
          <w:sz w:val="20"/>
          <w:szCs w:val="20"/>
        </w:rPr>
        <w:br/>
        <w:t xml:space="preserve">_________________________________________________, portador do CPF n.º ___________________ e da Cédula de Identidade RG n.º _________________________, daqui por diante denominada simplesmente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Contratada,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firmam o presente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Instrumento de M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edição de Resultado – IMR (Acordo de Nível de Serviços), </w:t>
      </w:r>
      <w:r>
        <w:rPr>
          <w:rFonts w:ascii="Arial" w:eastAsia="Arial" w:hAnsi="Arial" w:cs="Arial"/>
          <w:color w:val="000000"/>
          <w:sz w:val="20"/>
          <w:szCs w:val="20"/>
        </w:rPr>
        <w:t>como anexo ao contrato de prestação de serviços de apoio administrativo da UFPA.</w:t>
      </w: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Definição: </w:t>
      </w:r>
      <w:r>
        <w:rPr>
          <w:rFonts w:ascii="Arial" w:eastAsia="Arial" w:hAnsi="Arial" w:cs="Arial"/>
          <w:color w:val="000000"/>
          <w:sz w:val="20"/>
          <w:szCs w:val="20"/>
        </w:rPr>
        <w:t>Instrumento de Medição de Resultado é o mecanismo que define, em bases compreensíveis, tangíveis, objetiva</w:t>
      </w:r>
      <w:r>
        <w:rPr>
          <w:rFonts w:ascii="Arial" w:eastAsia="Arial" w:hAnsi="Arial" w:cs="Arial"/>
          <w:color w:val="000000"/>
          <w:sz w:val="20"/>
          <w:szCs w:val="20"/>
        </w:rPr>
        <w:t>mente observáveis e comprováveis, os níveis esperados de qualidade da prestação dos serviços e respectivas adequações de pagamento.</w:t>
      </w:r>
    </w:p>
    <w:p w:rsidR="00BB7F96" w:rsidRDefault="00BB7F96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Objetivo a atingir: </w:t>
      </w:r>
      <w:r>
        <w:rPr>
          <w:rFonts w:ascii="Arial" w:eastAsia="Arial" w:hAnsi="Arial" w:cs="Arial"/>
          <w:color w:val="000000"/>
          <w:sz w:val="20"/>
          <w:szCs w:val="20"/>
        </w:rPr>
        <w:t>prestação do serviço em elevados níveis de qualidade, para fins de eficiência e economicidade.</w:t>
      </w:r>
    </w:p>
    <w:p w:rsidR="00BB7F96" w:rsidRDefault="00B218A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Forma de avaliação: </w:t>
      </w:r>
      <w:r>
        <w:rPr>
          <w:rFonts w:ascii="Arial" w:eastAsia="Arial" w:hAnsi="Arial" w:cs="Arial"/>
          <w:color w:val="000000"/>
          <w:sz w:val="20"/>
          <w:szCs w:val="20"/>
        </w:rPr>
        <w:t>definição de situações (indicadores) que caracterizem o não atingimento do objetivo, e atribuição de grau de correspondência de 1 a 7, de ac</w:t>
      </w:r>
      <w:r>
        <w:rPr>
          <w:rFonts w:ascii="Arial" w:eastAsia="Arial" w:hAnsi="Arial" w:cs="Arial"/>
          <w:color w:val="000000"/>
          <w:sz w:val="20"/>
          <w:szCs w:val="20"/>
        </w:rPr>
        <w:t>ordo com os Indicativos de metas a cumprir, compreendendo descontos de 0,1% a 2,0% do valor mensal contratado.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color w:val="000000"/>
          <w:sz w:val="20"/>
          <w:szCs w:val="20"/>
        </w:rPr>
        <w:br/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Descontos x sanções administrativas: </w:t>
      </w:r>
      <w:r>
        <w:rPr>
          <w:rFonts w:ascii="Arial" w:eastAsia="Arial" w:hAnsi="Arial" w:cs="Arial"/>
          <w:color w:val="000000"/>
          <w:sz w:val="20"/>
          <w:szCs w:val="20"/>
        </w:rPr>
        <w:t>embora a aplicação de índices aos indicativos seja instrumento de gestão contratual, não configurando sançã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o, a Administração da Contratante poderá, pelo nível crítico de qualidade insuficiente em qualquer dos indicativos, aplicar as </w:t>
      </w:r>
      <w:r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penalidades previstas em contrato, ficando desde já estabelecido que, quando o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percentual de descontos no mês for superior a 10%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(dez por cento), poderá restar caracterizada inexecução parcial do contrato,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 que implicará na abertura de procedimento de aplicação de </w:t>
      </w:r>
      <w:r>
        <w:rPr>
          <w:rFonts w:ascii="Arial" w:eastAsia="Arial" w:hAnsi="Arial" w:cs="Arial"/>
          <w:b/>
          <w:color w:val="000000"/>
          <w:sz w:val="20"/>
          <w:szCs w:val="20"/>
        </w:rPr>
        <w:t>sanção administrativa, nos termos da Lei e do Contrato, observado o contraditório e a ampla defesa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  <w:r>
        <w:rPr>
          <w:rFonts w:ascii="Arial" w:eastAsia="Arial" w:hAnsi="Arial" w:cs="Arial"/>
          <w:color w:val="000000"/>
          <w:sz w:val="20"/>
          <w:szCs w:val="20"/>
        </w:rPr>
        <w:br/>
      </w:r>
    </w:p>
    <w:tbl>
      <w:tblPr>
        <w:tblStyle w:val="a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48"/>
        <w:gridCol w:w="5646"/>
      </w:tblGrid>
      <w:tr w:rsidR="00BB7F96">
        <w:tc>
          <w:tcPr>
            <w:tcW w:w="8494" w:type="dxa"/>
            <w:gridSpan w:val="2"/>
            <w:shd w:val="clear" w:color="auto" w:fill="F2F2F2"/>
          </w:tcPr>
          <w:p w:rsidR="00BB7F96" w:rsidRDefault="00B218A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PRESTAÇÃO DE SERVI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ÇOS DE APOIO ADMINISTRATIVO</w:t>
            </w: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</w:tr>
      <w:tr w:rsidR="00BB7F96">
        <w:tc>
          <w:tcPr>
            <w:tcW w:w="2848" w:type="dxa"/>
            <w:shd w:val="clear" w:color="auto" w:fill="F2F2F2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ITEM</w:t>
            </w:r>
          </w:p>
        </w:tc>
        <w:tc>
          <w:tcPr>
            <w:tcW w:w="5646" w:type="dxa"/>
            <w:shd w:val="clear" w:color="auto" w:fill="F2F2F2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DESCRIÇÃO</w:t>
            </w:r>
          </w:p>
        </w:tc>
      </w:tr>
      <w:tr w:rsidR="00BB7F96">
        <w:tc>
          <w:tcPr>
            <w:tcW w:w="28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Finalidade </w:t>
            </w:r>
          </w:p>
        </w:tc>
        <w:tc>
          <w:tcPr>
            <w:tcW w:w="5646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0"/>
              <w:tblW w:w="542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5420"/>
            </w:tblGrid>
            <w:tr w:rsidR="00BB7F96">
              <w:tc>
                <w:tcPr>
                  <w:tcW w:w="5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Verificar o grau de eficiência dos serviços de Apoio Administrativo executados pela contratada</w:t>
            </w:r>
          </w:p>
        </w:tc>
      </w:tr>
      <w:tr w:rsidR="00BB7F96">
        <w:tc>
          <w:tcPr>
            <w:tcW w:w="28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Metas a cumprir</w:t>
            </w:r>
          </w:p>
        </w:tc>
        <w:tc>
          <w:tcPr>
            <w:tcW w:w="5646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Atendimento de 100% (cem por cento) dos quesitos previstos no Termo de Referência.</w:t>
            </w:r>
          </w:p>
        </w:tc>
      </w:tr>
      <w:tr w:rsidR="00BB7F96">
        <w:tc>
          <w:tcPr>
            <w:tcW w:w="28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Instrumento de medição</w:t>
            </w:r>
          </w:p>
        </w:tc>
        <w:tc>
          <w:tcPr>
            <w:tcW w:w="5646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Avaliação da eficiência será feita pela equipe de fiscalização do contrato, mediante a utilização de formulário. </w:t>
            </w:r>
          </w:p>
        </w:tc>
      </w:tr>
      <w:tr w:rsidR="00BB7F96">
        <w:tc>
          <w:tcPr>
            <w:tcW w:w="28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Forma de acompanhamento</w:t>
            </w:r>
          </w:p>
        </w:tc>
        <w:tc>
          <w:tcPr>
            <w:tcW w:w="5646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Controle manual dos formulários de avaliação de eficiência.</w:t>
            </w:r>
          </w:p>
        </w:tc>
      </w:tr>
      <w:tr w:rsidR="00BB7F96">
        <w:tc>
          <w:tcPr>
            <w:tcW w:w="28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Periodicidade</w:t>
            </w:r>
          </w:p>
        </w:tc>
        <w:tc>
          <w:tcPr>
            <w:tcW w:w="5646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Mensal</w:t>
            </w:r>
          </w:p>
        </w:tc>
      </w:tr>
      <w:tr w:rsidR="00BB7F96">
        <w:tc>
          <w:tcPr>
            <w:tcW w:w="28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Início da vigência</w:t>
            </w:r>
          </w:p>
        </w:tc>
        <w:tc>
          <w:tcPr>
            <w:tcW w:w="5646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partir da dat</w:t>
            </w:r>
            <w:r>
              <w:rPr>
                <w:rFonts w:ascii="Arial" w:eastAsia="Arial" w:hAnsi="Arial" w:cs="Arial"/>
                <w:sz w:val="18"/>
                <w:szCs w:val="18"/>
              </w:rPr>
              <w:t>a de assinatura do contrato.</w:t>
            </w:r>
          </w:p>
        </w:tc>
      </w:tr>
    </w:tbl>
    <w:p w:rsidR="00BB7F96" w:rsidRDefault="00BB7F96">
      <w:pPr>
        <w:jc w:val="center"/>
        <w:rPr>
          <w:rFonts w:ascii="Arial" w:eastAsia="Arial" w:hAnsi="Arial" w:cs="Arial"/>
          <w:b/>
          <w:color w:val="FF0000"/>
          <w:sz w:val="20"/>
          <w:szCs w:val="20"/>
        </w:rPr>
      </w:pPr>
    </w:p>
    <w:p w:rsidR="00BB7F96" w:rsidRDefault="00B218A5">
      <w:pPr>
        <w:spacing w:after="0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Especificação da falha e do respectivo grau em que se enquadra –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000000"/>
          <w:sz w:val="18"/>
          <w:szCs w:val="18"/>
        </w:rPr>
        <w:t>tabela 01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tbl>
      <w:tblPr>
        <w:tblStyle w:val="a1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7"/>
        <w:gridCol w:w="7340"/>
        <w:gridCol w:w="737"/>
      </w:tblGrid>
      <w:tr w:rsidR="00BB7F96">
        <w:tc>
          <w:tcPr>
            <w:tcW w:w="7757" w:type="dxa"/>
            <w:gridSpan w:val="2"/>
          </w:tcPr>
          <w:p w:rsidR="00BB7F96" w:rsidRDefault="00B218A5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br/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Descrição da infração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GRAU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7340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Suspender ou interromper, salvo motivo de força maior ou caso fortuito, os serviços contratuais, por dia de suspensão/interrupção;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2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Permitir situação que crie a possibilidade de causar dano físico, lesão corporal ou consequências letais aos administrados ou a seus empregados, bem como servidores e frequentadores do Tribunal, em face do contrato ou em razão dele, por evento;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3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Manter ou designar trabalhador sem a qualificação/habilitação exigida para executar os serviços contratados, após notificação à contratada, por posto e por dia;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4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Deixar de efetuar o pagamento de salários, seguros, encargos fiscais e sociais (INSS, FGTS, auxílio alimentação, auxílio transporte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), bem como deixar de arcar com quaisquer despesas diretas e/ou indiretas relacionadas à execução do contrato. Por item 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escumprido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5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apresentar documento contratual exigido quando solicitado ou recusar/retardar a prestação de informação que foi solicitada, inclusive nos casos de respostas a notificação/intimação, por evento;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7340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cumprir determinação formal ou instr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ução do fiscalizador, por ocorrência;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6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cumprir quaisquer dos itens do edital e seus anexos não previstos nesta tabela, após notificação pelo órgão fiscalizador, por item e por ocorrência;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7340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substituir empregado que se conduza de modo inconveniente ou não preste os serviços a contento, por empregado e por dia;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7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cumprir quaisquer dos demais itens ou obrigações do edital e de seus anexos não previstos nesta tabela por item e por ocorrência, inclusive os previstos no item do Termo de Referência Das Obrigações da Contratada;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rPr>
          <w:trHeight w:val="60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7340" w:type="dxa"/>
          </w:tcPr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Efetuar o pagamento de sa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lários, seguros, encargos fiscais e sociais (INSS, FGTS, auxílio alimentação, auxílio transporte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) com atraso, por dia de atraso.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</w:tr>
      <w:tr w:rsidR="00BB7F96">
        <w:trPr>
          <w:trHeight w:val="283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11</w:t>
            </w:r>
          </w:p>
        </w:tc>
        <w:tc>
          <w:tcPr>
            <w:tcW w:w="7340" w:type="dxa"/>
          </w:tcPr>
          <w:p w:rsidR="00BB7F96" w:rsidRPr="003D7A39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D7A39">
              <w:rPr>
                <w:rFonts w:ascii="Arial" w:eastAsia="Arial" w:hAnsi="Arial" w:cs="Arial"/>
                <w:sz w:val="18"/>
                <w:szCs w:val="18"/>
              </w:rPr>
              <w:t>Atrasar na entrega de uniformes,</w:t>
            </w:r>
            <w:r w:rsidRPr="003D7A39">
              <w:rPr>
                <w:rFonts w:ascii="Arial" w:eastAsia="Arial" w:hAnsi="Arial" w:cs="Arial"/>
                <w:sz w:val="18"/>
                <w:szCs w:val="18"/>
              </w:rPr>
              <w:t xml:space="preserve"> EPIs e crachá</w:t>
            </w:r>
            <w:r w:rsidRPr="003D7A39">
              <w:rPr>
                <w:rFonts w:ascii="Arial" w:eastAsia="Arial" w:hAnsi="Arial" w:cs="Arial"/>
                <w:sz w:val="18"/>
                <w:szCs w:val="18"/>
              </w:rPr>
              <w:t>, instalação de ponto eletrônico e disponibilização dos demais equipamentos exigidos no Termo de Referência, por dia de atraso e por item.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rPr>
          <w:trHeight w:val="283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color w:val="5B9BD5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5B9BD5"/>
                <w:sz w:val="18"/>
                <w:szCs w:val="18"/>
              </w:rPr>
              <w:t>12</w:t>
            </w:r>
          </w:p>
        </w:tc>
        <w:tc>
          <w:tcPr>
            <w:tcW w:w="7340" w:type="dxa"/>
          </w:tcPr>
          <w:p w:rsidR="00BB7F96" w:rsidRPr="00B218A5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B218A5">
              <w:rPr>
                <w:rFonts w:ascii="Arial" w:eastAsia="Arial" w:hAnsi="Arial" w:cs="Arial"/>
                <w:sz w:val="18"/>
                <w:szCs w:val="18"/>
              </w:rPr>
              <w:t xml:space="preserve">Deixar o empregado de usar EPIs ou utilizar em desconformidade com o exigido, por empregado e por dia. </w:t>
            </w:r>
          </w:p>
        </w:tc>
        <w:tc>
          <w:tcPr>
            <w:tcW w:w="737" w:type="dxa"/>
          </w:tcPr>
          <w:p w:rsidR="00BB7F96" w:rsidRPr="00B218A5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B218A5"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</w:tr>
      <w:tr w:rsidR="00BB7F96">
        <w:trPr>
          <w:trHeight w:val="401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7340" w:type="dxa"/>
          </w:tcPr>
          <w:p w:rsidR="00BB7F96" w:rsidRPr="003D7A39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3D7A39">
              <w:rPr>
                <w:rFonts w:ascii="Arial" w:eastAsia="Arial" w:hAnsi="Arial" w:cs="Arial"/>
                <w:sz w:val="18"/>
                <w:szCs w:val="18"/>
              </w:rPr>
              <w:t xml:space="preserve">Deixar o empregado de usar uniformes, </w:t>
            </w:r>
            <w:r w:rsidRPr="003D7A39">
              <w:rPr>
                <w:rFonts w:ascii="Arial" w:eastAsia="Arial" w:hAnsi="Arial" w:cs="Arial"/>
                <w:sz w:val="18"/>
                <w:szCs w:val="18"/>
              </w:rPr>
              <w:t>EPIs e crachás</w:t>
            </w:r>
            <w:r w:rsidRPr="003D7A39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Pr="003D7A39">
              <w:rPr>
                <w:rFonts w:ascii="Arial" w:eastAsia="Arial" w:hAnsi="Arial" w:cs="Arial"/>
                <w:sz w:val="18"/>
                <w:szCs w:val="18"/>
              </w:rPr>
              <w:t>ou utilizar em desconformidade com o exigido, por empregado e por dia, após notificação à contratada para correção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rPr>
          <w:trHeight w:val="421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8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substituir empregado ausente, inclusive em caso de faltas injustificadas, afastamentos legais e férias, por empregado e por dia;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9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Não utilização ou utilização irregular do ponto eletrônico pelos empregados, salvo em caso de pane, desde que em caso isolado e mediante comunicação à fiscalização do contrato; ou, quando não exigível, assinatura fraudulenta ou irregular da folha de ponto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(assinatura em data pretérita, futura ou mediante registro de horário britânico). Por dia de ocorrência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a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Atraso reincidente dos empregados no início da prestação de serviços, após notificação à contratada para correção. Por empregado e por dia;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rPr>
          <w:trHeight w:val="850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b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a empresa ou seus empregados e preposto de cumprir as demais NORMAS GERAIS DE CONDUTA E DE EXECUÇÃO DOS SERVIÇOS, previstas no Termo de Referência e não especificadas nesta tabela, mesmo após notificação escrita por parte da fiscalização do contrato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por ocorrência;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</w:tr>
      <w:tr w:rsidR="00BB7F96">
        <w:trPr>
          <w:trHeight w:val="425"/>
        </w:trPr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c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manter os requisitos de habilitação durante a vigência do contrato, especialmente os relacionados à regularidade fiscal e trabalhista, por mês de descumprimento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d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indicar e manter o preposto durante a execução contratual por dia de ocorrência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</w:tr>
      <w:tr w:rsidR="00BB7F96">
        <w:tc>
          <w:tcPr>
            <w:tcW w:w="41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7340" w:type="dxa"/>
          </w:tcPr>
          <w:p w:rsidR="00BB7F96" w:rsidRDefault="00BB7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tbl>
            <w:tblPr>
              <w:tblStyle w:val="ae"/>
              <w:tblW w:w="6630" w:type="dxa"/>
              <w:tblInd w:w="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6630"/>
            </w:tblGrid>
            <w:tr w:rsidR="00BB7F96">
              <w:tc>
                <w:tcPr>
                  <w:tcW w:w="6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BB7F96" w:rsidRDefault="00BB7F96">
                  <w:pP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B7F96" w:rsidRDefault="00B218A5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Deixar de fornecer transporte aos empregados em dia de paralisação geral do transporte público, por dia.</w:t>
            </w:r>
          </w:p>
        </w:tc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</w:t>
            </w:r>
          </w:p>
        </w:tc>
      </w:tr>
    </w:tbl>
    <w:p w:rsidR="00BB7F96" w:rsidRDefault="00BB7F96">
      <w:pPr>
        <w:rPr>
          <w:rFonts w:ascii="Arial" w:eastAsia="Arial" w:hAnsi="Arial" w:cs="Arial"/>
          <w:sz w:val="20"/>
          <w:szCs w:val="20"/>
        </w:rPr>
      </w:pPr>
    </w:p>
    <w:p w:rsidR="00BB7F96" w:rsidRDefault="00B218A5">
      <w:pPr>
        <w:rPr>
          <w:rFonts w:ascii="Arial" w:eastAsia="Arial" w:hAnsi="Arial" w:cs="Arial"/>
          <w:b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Apuração do valor a ser deduzido, em função do grau de falha – tabela 02:</w:t>
      </w:r>
    </w:p>
    <w:tbl>
      <w:tblPr>
        <w:tblStyle w:val="af"/>
        <w:tblW w:w="4085" w:type="dxa"/>
        <w:tblInd w:w="2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7"/>
        <w:gridCol w:w="3348"/>
      </w:tblGrid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GRAU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CORRESPONDÊNCIA 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0,1% sobre o valor mensal contratado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02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0,2% sobre o valor mensal contratado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0,4% sobre o valor mensal contratado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0,6% sobre o valor mensal contratado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1,00% sobre o valor mensal contratado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1,5% sobre o valor mensal contratado</w:t>
            </w:r>
          </w:p>
        </w:tc>
      </w:tr>
      <w:tr w:rsidR="00BB7F96">
        <w:tc>
          <w:tcPr>
            <w:tcW w:w="737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</w:t>
            </w:r>
          </w:p>
        </w:tc>
        <w:tc>
          <w:tcPr>
            <w:tcW w:w="3348" w:type="dxa"/>
          </w:tcPr>
          <w:p w:rsidR="00BB7F96" w:rsidRDefault="00B218A5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2,00% sob</w:t>
            </w:r>
            <w:r>
              <w:rPr>
                <w:rFonts w:ascii="Arial" w:eastAsia="Arial" w:hAnsi="Arial" w:cs="Arial"/>
                <w:sz w:val="18"/>
                <w:szCs w:val="18"/>
              </w:rPr>
              <w:t>re o valor mensal contratado</w:t>
            </w:r>
          </w:p>
        </w:tc>
      </w:tr>
    </w:tbl>
    <w:p w:rsidR="00BB7F96" w:rsidRDefault="00BB7F96">
      <w:pPr>
        <w:rPr>
          <w:rFonts w:ascii="Times" w:eastAsia="Times" w:hAnsi="Times" w:cs="Times"/>
          <w:color w:val="000000"/>
          <w:sz w:val="12"/>
          <w:szCs w:val="12"/>
        </w:rPr>
      </w:pPr>
    </w:p>
    <w:p w:rsidR="00BB7F96" w:rsidRDefault="00B218A5">
      <w:pP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 valor do pagamento mensal dos serviços será calculado como sendo o valor mensal do contrato subtraídos os descontos (pela aplicação deste Instrumento), glosas (por não prestação de serviços) e multas (sanções administrativas) computadas e aplicáveis no p</w:t>
      </w:r>
      <w:r>
        <w:rPr>
          <w:rFonts w:ascii="Arial" w:eastAsia="Arial" w:hAnsi="Arial" w:cs="Arial"/>
          <w:color w:val="000000"/>
          <w:sz w:val="18"/>
          <w:szCs w:val="18"/>
        </w:rPr>
        <w:t>eríodo correspondente.</w:t>
      </w:r>
    </w:p>
    <w:p w:rsidR="00BB7F96" w:rsidRDefault="00B218A5">
      <w:pPr>
        <w:rPr>
          <w:rFonts w:ascii="Arial" w:eastAsia="Arial" w:hAnsi="Arial" w:cs="Arial"/>
          <w:b/>
          <w:i/>
          <w:sz w:val="18"/>
          <w:szCs w:val="18"/>
        </w:rPr>
      </w:pPr>
      <w:r>
        <w:rPr>
          <w:rFonts w:ascii="Arial" w:eastAsia="Arial" w:hAnsi="Arial" w:cs="Arial"/>
          <w:b/>
          <w:i/>
          <w:sz w:val="18"/>
          <w:szCs w:val="18"/>
        </w:rPr>
        <w:t>VPM = VMC – TDGM</w:t>
      </w:r>
    </w:p>
    <w:p w:rsidR="00BB7F96" w:rsidRDefault="00B218A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Onde:</w:t>
      </w:r>
    </w:p>
    <w:p w:rsidR="00BB7F96" w:rsidRDefault="00B218A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VPM = Valor a ser pago no mês</w:t>
      </w:r>
    </w:p>
    <w:p w:rsidR="00BB7F96" w:rsidRDefault="00B218A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VMC = Valor mensal do contrato</w:t>
      </w:r>
    </w:p>
    <w:p w:rsidR="00BB7F96" w:rsidRDefault="00B218A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TDGM = Total de descontos, glosas e multas no mês</w:t>
      </w:r>
    </w:p>
    <w:p w:rsidR="00BB7F96" w:rsidRDefault="00B218A5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De acordo,</w:t>
      </w:r>
    </w:p>
    <w:tbl>
      <w:tblPr>
        <w:tblStyle w:val="af0"/>
        <w:tblW w:w="849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5"/>
        <w:gridCol w:w="5999"/>
      </w:tblGrid>
      <w:tr w:rsidR="00BB7F96">
        <w:tc>
          <w:tcPr>
            <w:tcW w:w="2495" w:type="dxa"/>
          </w:tcPr>
          <w:p w:rsidR="00BB7F96" w:rsidRDefault="00B218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Fiscal Técnico</w:t>
            </w:r>
          </w:p>
        </w:tc>
        <w:tc>
          <w:tcPr>
            <w:tcW w:w="5999" w:type="dxa"/>
          </w:tcPr>
          <w:p w:rsidR="00BB7F96" w:rsidRDefault="00BB7F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B7F96">
        <w:tc>
          <w:tcPr>
            <w:tcW w:w="2495" w:type="dxa"/>
          </w:tcPr>
          <w:p w:rsidR="00BB7F96" w:rsidRDefault="00B218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Fiscal Administrativo</w:t>
            </w:r>
          </w:p>
        </w:tc>
        <w:tc>
          <w:tcPr>
            <w:tcW w:w="5999" w:type="dxa"/>
          </w:tcPr>
          <w:p w:rsidR="00BB7F96" w:rsidRDefault="00BB7F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B7F96">
        <w:tc>
          <w:tcPr>
            <w:tcW w:w="2495" w:type="dxa"/>
          </w:tcPr>
          <w:p w:rsidR="00BB7F96" w:rsidRDefault="00B218A5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Preposto da contratada</w:t>
            </w:r>
          </w:p>
        </w:tc>
        <w:tc>
          <w:tcPr>
            <w:tcW w:w="5999" w:type="dxa"/>
          </w:tcPr>
          <w:p w:rsidR="00BB7F96" w:rsidRDefault="00BB7F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B7F96">
        <w:tc>
          <w:tcPr>
            <w:tcW w:w="2495" w:type="dxa"/>
          </w:tcPr>
          <w:p w:rsidR="00BB7F96" w:rsidRDefault="00BB7F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999" w:type="dxa"/>
          </w:tcPr>
          <w:p w:rsidR="00BB7F96" w:rsidRDefault="00BB7F96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BB7F96" w:rsidRDefault="00BB7F96">
      <w:pPr>
        <w:rPr>
          <w:rFonts w:ascii="Arial" w:eastAsia="Arial" w:hAnsi="Arial" w:cs="Arial"/>
          <w:sz w:val="20"/>
          <w:szCs w:val="20"/>
        </w:rPr>
      </w:pPr>
    </w:p>
    <w:p w:rsidR="00BB7F96" w:rsidRDefault="00BB7F96">
      <w:pPr>
        <w:rPr>
          <w:rFonts w:ascii="Arial" w:eastAsia="Arial" w:hAnsi="Arial" w:cs="Arial"/>
          <w:sz w:val="20"/>
          <w:szCs w:val="20"/>
        </w:rPr>
      </w:pPr>
    </w:p>
    <w:p w:rsidR="00BB7F96" w:rsidRDefault="00B218A5">
      <w:pPr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Belém, _______de_________________ </w:t>
      </w:r>
      <w:proofErr w:type="spellStart"/>
      <w:r>
        <w:rPr>
          <w:rFonts w:ascii="Arial" w:eastAsia="Arial" w:hAnsi="Arial" w:cs="Arial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__________.</w:t>
      </w:r>
    </w:p>
    <w:p w:rsidR="00BB7F96" w:rsidRDefault="00BB7F96">
      <w:pPr>
        <w:rPr>
          <w:rFonts w:ascii="Arial" w:eastAsia="Arial" w:hAnsi="Arial" w:cs="Arial"/>
          <w:sz w:val="20"/>
          <w:szCs w:val="20"/>
        </w:rPr>
      </w:pPr>
      <w:bookmarkStart w:id="1" w:name="_GoBack"/>
      <w:bookmarkEnd w:id="1"/>
    </w:p>
    <w:sectPr w:rsidR="00BB7F96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pranq eco sans">
    <w:altName w:val="Cambria"/>
    <w:panose1 w:val="00000000000000000000"/>
    <w:charset w:val="00"/>
    <w:family w:val="roman"/>
    <w:notTrueType/>
    <w:pitch w:val="default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">
    <w:panose1 w:val="00000000000000000000"/>
    <w:charset w:val="00"/>
    <w:family w:val="roman"/>
    <w:notTrueType/>
    <w:pitch w:val="default"/>
  </w:font>
  <w:font w:name="Times"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3E3C89"/>
    <w:multiLevelType w:val="multilevel"/>
    <w:tmpl w:val="1F86AA00"/>
    <w:lvl w:ilvl="0">
      <w:start w:val="1"/>
      <w:numFmt w:val="decimal"/>
      <w:pStyle w:val="Ecofont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F96"/>
    <w:rsid w:val="003D7A39"/>
    <w:rsid w:val="00B218A5"/>
    <w:rsid w:val="00BB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41F050-4BE9-4FF8-84B7-BDC24DAF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C73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cofont">
    <w:name w:val="Ecofont"/>
    <w:basedOn w:val="Ttulo1"/>
    <w:next w:val="Subttulo"/>
    <w:qFormat/>
    <w:rsid w:val="001C7337"/>
    <w:pPr>
      <w:numPr>
        <w:numId w:val="1"/>
      </w:numPr>
      <w:spacing w:line="276" w:lineRule="auto"/>
      <w:jc w:val="both"/>
    </w:pPr>
    <w:rPr>
      <w:rFonts w:ascii="Spranq eco sans" w:hAnsi="Spranq eco sans" w:cs="Times New Roman"/>
      <w:b w:val="0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1C733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Subttulo">
    <w:name w:val="Subtitle"/>
    <w:basedOn w:val="Normal"/>
    <w:next w:val="Normal"/>
    <w:link w:val="SubttuloChar"/>
    <w:uiPriority w:val="11"/>
    <w:qFormat/>
    <w:rPr>
      <w:i/>
      <w:color w:val="5B9BD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1C733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Cabealho">
    <w:name w:val="header"/>
    <w:basedOn w:val="Normal"/>
    <w:link w:val="CabealhoChar"/>
    <w:rsid w:val="00CE74C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abealhoChar">
    <w:name w:val="Cabeçalho Char"/>
    <w:basedOn w:val="Fontepargpadro"/>
    <w:link w:val="Cabealho"/>
    <w:rsid w:val="00CE74C3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7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74C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39"/>
    <w:rsid w:val="00CE7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CE74C3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PargrafodaLista">
    <w:name w:val="List Paragraph"/>
    <w:basedOn w:val="Normal"/>
    <w:uiPriority w:val="34"/>
    <w:qFormat/>
    <w:rsid w:val="00FA57D0"/>
    <w:pPr>
      <w:ind w:left="720"/>
      <w:contextualSpacing/>
    </w:pPr>
  </w:style>
  <w:style w:type="character" w:customStyle="1" w:styleId="fontstyle21">
    <w:name w:val="fontstyle21"/>
    <w:basedOn w:val="Fontepargpadro"/>
    <w:rsid w:val="00FA57D0"/>
    <w:rPr>
      <w:rFonts w:ascii="Times-Bold" w:hAnsi="Times-Bold" w:hint="default"/>
      <w:b/>
      <w:bCs/>
      <w:i w:val="0"/>
      <w:iCs w:val="0"/>
      <w:color w:val="000000"/>
      <w:sz w:val="12"/>
      <w:szCs w:val="12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cAxLzeyBHmf+ky05Hen+Ot6Mvw==">AMUW2mV3FbVgkWnigzboEA3qeqBIVyItfTwsVHn0k16Mw9mshYGN8XBjnQPxO+G+lVuw8Frau3XkHIpB4FgRV/aK8MQZ6ueuWSw9vGiMCFbUzT3hPLIvLT37xa/uhVwavDUw92XulfN1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1395</Words>
  <Characters>7539</Characters>
  <Application>Microsoft Office Word</Application>
  <DocSecurity>0</DocSecurity>
  <Lines>62</Lines>
  <Paragraphs>17</Paragraphs>
  <ScaleCrop>false</ScaleCrop>
  <Company/>
  <LinksUpToDate>false</LinksUpToDate>
  <CharactersWithSpaces>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Celso Pereira</dc:creator>
  <cp:lastModifiedBy>CPL - PC</cp:lastModifiedBy>
  <cp:revision>3</cp:revision>
  <dcterms:created xsi:type="dcterms:W3CDTF">2020-06-08T11:24:00Z</dcterms:created>
  <dcterms:modified xsi:type="dcterms:W3CDTF">2020-08-31T12:10:00Z</dcterms:modified>
</cp:coreProperties>
</file>