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1DC22" w14:textId="77777777" w:rsidR="00D30592" w:rsidRPr="00396B0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  <w:r w:rsidRPr="00396B02">
        <w:rPr>
          <w:rFonts w:cs="Arial"/>
          <w:b/>
          <w:caps/>
          <w:noProof/>
          <w:color w:val="000000"/>
          <w:szCs w:val="20"/>
        </w:rPr>
        <w:drawing>
          <wp:anchor distT="0" distB="0" distL="114300" distR="114300" simplePos="0" relativeHeight="251658240" behindDoc="0" locked="0" layoutInCell="1" allowOverlap="1" wp14:anchorId="5CDDCBFD" wp14:editId="54F38BDA">
            <wp:simplePos x="0" y="0"/>
            <wp:positionH relativeFrom="column">
              <wp:posOffset>2672715</wp:posOffset>
            </wp:positionH>
            <wp:positionV relativeFrom="paragraph">
              <wp:posOffset>66675</wp:posOffset>
            </wp:positionV>
            <wp:extent cx="367665" cy="467360"/>
            <wp:effectExtent l="0" t="0" r="0" b="8890"/>
            <wp:wrapThrough wrapText="bothSides">
              <wp:wrapPolygon edited="0">
                <wp:start x="0" y="0"/>
                <wp:lineTo x="0" y="21130"/>
                <wp:lineTo x="20145" y="21130"/>
                <wp:lineTo x="20145" y="0"/>
                <wp:lineTo x="0" y="0"/>
              </wp:wrapPolygon>
            </wp:wrapThrough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67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E148CE" w14:textId="77777777" w:rsidR="00D3059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</w:p>
    <w:p w14:paraId="24B2F642" w14:textId="77777777" w:rsidR="00D3059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</w:p>
    <w:p w14:paraId="009DF95A" w14:textId="77777777" w:rsidR="00D3059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</w:p>
    <w:p w14:paraId="3896F605" w14:textId="77777777" w:rsidR="00D30592" w:rsidRPr="00396B0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  <w:r w:rsidRPr="00396B02">
        <w:rPr>
          <w:rFonts w:cs="Arial"/>
          <w:b/>
          <w:smallCaps/>
          <w:szCs w:val="20"/>
        </w:rPr>
        <w:t xml:space="preserve">Serviço Público Federal </w:t>
      </w:r>
    </w:p>
    <w:p w14:paraId="1268E66D" w14:textId="77777777" w:rsidR="00D30592" w:rsidRPr="00396B0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  <w:r w:rsidRPr="00396B02">
        <w:rPr>
          <w:rFonts w:cs="Arial"/>
          <w:b/>
          <w:smallCaps/>
          <w:szCs w:val="20"/>
        </w:rPr>
        <w:t>Universidade Federal do Pará</w:t>
      </w:r>
    </w:p>
    <w:p w14:paraId="5D5C9772" w14:textId="77777777" w:rsidR="00D30592" w:rsidRPr="00396B02" w:rsidRDefault="00D30592" w:rsidP="00D30592">
      <w:pPr>
        <w:spacing w:line="200" w:lineRule="atLeast"/>
        <w:jc w:val="center"/>
        <w:rPr>
          <w:rFonts w:cs="Arial"/>
          <w:b/>
          <w:smallCaps/>
          <w:szCs w:val="20"/>
        </w:rPr>
      </w:pPr>
      <w:r w:rsidRPr="00396B02">
        <w:rPr>
          <w:rFonts w:cs="Arial"/>
          <w:b/>
          <w:smallCaps/>
          <w:szCs w:val="20"/>
        </w:rPr>
        <w:t>Pró-Reitoria de Administração</w:t>
      </w:r>
    </w:p>
    <w:p w14:paraId="1A05CF64" w14:textId="77777777" w:rsidR="00D30592" w:rsidRDefault="00D30592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6E" w14:textId="4BDD2DEB" w:rsidR="0070059F" w:rsidRPr="00391D87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ANEXO </w:t>
      </w:r>
      <w:r w:rsidR="00A92587">
        <w:rPr>
          <w:rFonts w:cs="Times New Roman"/>
          <w:b/>
          <w:szCs w:val="20"/>
        </w:rPr>
        <w:t>III</w:t>
      </w:r>
    </w:p>
    <w:p w14:paraId="1D19C06F" w14:textId="77777777" w:rsidR="00FC1667" w:rsidRDefault="0070059F" w:rsidP="008B0761">
      <w:pPr>
        <w:ind w:right="-17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>TERMO DE CONTRATO</w:t>
      </w:r>
      <w:r w:rsidR="00D50084" w:rsidRPr="00391D87">
        <w:rPr>
          <w:rFonts w:cs="Times New Roman"/>
          <w:b/>
          <w:szCs w:val="20"/>
        </w:rPr>
        <w:t xml:space="preserve"> </w:t>
      </w:r>
    </w:p>
    <w:p w14:paraId="1D19C072" w14:textId="77777777" w:rsidR="0070059F" w:rsidRPr="00391D87" w:rsidRDefault="0070059F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3" w14:textId="77777777" w:rsidR="00E8481E" w:rsidRPr="00391D87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6777DEAE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 xml:space="preserve">PRESTAÇÃO DE </w:t>
      </w:r>
      <w:proofErr w:type="gramStart"/>
      <w:r w:rsidR="00EF2567" w:rsidRPr="00391D87">
        <w:rPr>
          <w:rFonts w:cs="Times New Roman"/>
          <w:b/>
          <w:szCs w:val="20"/>
        </w:rPr>
        <w:t xml:space="preserve">SERVIÇOS </w:t>
      </w:r>
      <w:r w:rsidRPr="00391D87">
        <w:rPr>
          <w:rFonts w:cs="Times New Roman"/>
          <w:b/>
          <w:szCs w:val="20"/>
        </w:rPr>
        <w:t xml:space="preserve"> Nº</w:t>
      </w:r>
      <w:proofErr w:type="gramEnd"/>
      <w:r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D</w:t>
      </w:r>
      <w:r w:rsidR="00D30592">
        <w:rPr>
          <w:rFonts w:cs="Times New Roman"/>
          <w:b/>
          <w:szCs w:val="20"/>
        </w:rPr>
        <w:t xml:space="preserve">A </w:t>
      </w:r>
      <w:r w:rsidR="00D30592" w:rsidRPr="00396B02">
        <w:rPr>
          <w:rFonts w:cs="Arial"/>
          <w:b/>
          <w:szCs w:val="20"/>
        </w:rPr>
        <w:t>UNIVERSIDADE FEDERAL DO PARÁ – UFPA</w:t>
      </w:r>
      <w:r w:rsidR="00CD6B7E"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........................................................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03190CFE" w:rsidR="0070059F" w:rsidRDefault="00D30592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6B02">
        <w:rPr>
          <w:rFonts w:cs="Arial"/>
          <w:szCs w:val="20"/>
        </w:rPr>
        <w:t>A União, por intermédio do(a</w:t>
      </w:r>
      <w:r w:rsidRPr="00396B02">
        <w:rPr>
          <w:rFonts w:cs="Arial"/>
          <w:color w:val="0000FF"/>
          <w:szCs w:val="20"/>
        </w:rPr>
        <w:t xml:space="preserve">) </w:t>
      </w:r>
      <w:r w:rsidRPr="00396B02">
        <w:rPr>
          <w:rFonts w:cs="Arial"/>
          <w:b/>
          <w:szCs w:val="20"/>
        </w:rPr>
        <w:t>UNIVERSIDADE FEDERAL DO PARÁ – UFPA</w:t>
      </w:r>
      <w:r w:rsidRPr="00396B02">
        <w:rPr>
          <w:rFonts w:cs="Arial"/>
          <w:szCs w:val="20"/>
        </w:rPr>
        <w:t xml:space="preserve">, com sede </w:t>
      </w:r>
      <w:r w:rsidRPr="00396B02">
        <w:rPr>
          <w:rFonts w:cs="Arial"/>
          <w:bCs/>
          <w:szCs w:val="20"/>
        </w:rPr>
        <w:t>no Campus Universitário do Guamá, à Rua Augusto Corrêa, nº 01, na Cidade de Belém</w:t>
      </w:r>
      <w:r w:rsidRPr="00396B02">
        <w:rPr>
          <w:rFonts w:cs="Arial"/>
          <w:szCs w:val="20"/>
        </w:rPr>
        <w:t xml:space="preserve">, Estado  do Pará, inscrito(a) no CNPJ sob o nº </w:t>
      </w:r>
      <w:r w:rsidRPr="00396B02">
        <w:rPr>
          <w:rFonts w:cs="Arial"/>
          <w:bCs/>
          <w:szCs w:val="20"/>
        </w:rPr>
        <w:t>34.621.748.000-23</w:t>
      </w:r>
      <w:r w:rsidRPr="00396B02">
        <w:rPr>
          <w:rFonts w:cs="Arial"/>
          <w:szCs w:val="20"/>
        </w:rPr>
        <w:t xml:space="preserve">, neste ato representado pelo </w:t>
      </w:r>
      <w:r w:rsidRPr="00396B02">
        <w:rPr>
          <w:rFonts w:cs="Arial"/>
          <w:bCs/>
          <w:szCs w:val="20"/>
        </w:rPr>
        <w:t xml:space="preserve">Magnífico Reitor, </w:t>
      </w:r>
      <w:r w:rsidRPr="00396B02">
        <w:rPr>
          <w:rFonts w:cs="Arial"/>
          <w:b/>
          <w:szCs w:val="20"/>
        </w:rPr>
        <w:t xml:space="preserve">Prof. Dr. </w:t>
      </w:r>
      <w:r w:rsidRPr="00396B02">
        <w:rPr>
          <w:rFonts w:cs="Arial"/>
          <w:b/>
          <w:i/>
          <w:szCs w:val="20"/>
        </w:rPr>
        <w:t>EMMANUEL ZAGURY TOURINHO</w:t>
      </w:r>
      <w:r w:rsidR="0070059F" w:rsidRPr="00391D87">
        <w:rPr>
          <w:rFonts w:cs="Times New Roman"/>
          <w:szCs w:val="20"/>
        </w:rPr>
        <w:t xml:space="preserve">, </w:t>
      </w:r>
      <w:r w:rsidRPr="00391D87">
        <w:rPr>
          <w:rFonts w:cs="Times New Roman"/>
          <w:szCs w:val="20"/>
        </w:rPr>
        <w:t>nomeado pel</w:t>
      </w:r>
      <w:r>
        <w:rPr>
          <w:rFonts w:cs="Times New Roman"/>
          <w:szCs w:val="20"/>
        </w:rPr>
        <w:t>o Decreto Presidencial de 22 de setembro de 2016</w:t>
      </w:r>
      <w:r w:rsidRPr="00391D87">
        <w:rPr>
          <w:rFonts w:cs="Times New Roman"/>
          <w:szCs w:val="20"/>
        </w:rPr>
        <w:t>, publicad</w:t>
      </w:r>
      <w:r>
        <w:rPr>
          <w:rFonts w:cs="Times New Roman"/>
          <w:szCs w:val="20"/>
        </w:rPr>
        <w:t>o</w:t>
      </w:r>
      <w:r w:rsidRPr="00391D87">
        <w:rPr>
          <w:rFonts w:cs="Times New Roman"/>
          <w:szCs w:val="20"/>
        </w:rPr>
        <w:t xml:space="preserve"> no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i/>
          <w:iCs/>
          <w:szCs w:val="20"/>
        </w:rPr>
        <w:t>DOU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szCs w:val="20"/>
        </w:rPr>
        <w:t xml:space="preserve">de </w:t>
      </w:r>
      <w:r w:rsidRPr="00554B06">
        <w:rPr>
          <w:rFonts w:cs="Times New Roman"/>
          <w:color w:val="000000" w:themeColor="text1"/>
          <w:szCs w:val="20"/>
        </w:rPr>
        <w:t>23 de setembro de 2016</w:t>
      </w:r>
      <w:r w:rsidR="0070059F" w:rsidRPr="00391D87">
        <w:rPr>
          <w:rFonts w:cs="Times New Roman"/>
          <w:szCs w:val="20"/>
        </w:rPr>
        <w:t xml:space="preserve">, </w:t>
      </w:r>
      <w:r w:rsidR="00091DFF">
        <w:rPr>
          <w:rFonts w:cs="Arial"/>
          <w:szCs w:val="20"/>
        </w:rPr>
        <w:t xml:space="preserve">portador da matrícula funcional nº </w:t>
      </w:r>
      <w:r w:rsidR="00091DFF">
        <w:rPr>
          <w:rFonts w:cs="Arial"/>
          <w:color w:val="FF0000"/>
          <w:szCs w:val="20"/>
        </w:rPr>
        <w:t>....................................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</w:t>
      </w:r>
      <w:proofErr w:type="spellStart"/>
      <w:r w:rsidR="0070059F" w:rsidRPr="00391D87">
        <w:rPr>
          <w:rFonts w:cs="Times New Roman"/>
          <w:szCs w:val="20"/>
        </w:rPr>
        <w:t>em</w:t>
      </w:r>
      <w:proofErr w:type="spell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 xml:space="preserve">, tendo em vista o que consta no Processo nº </w:t>
      </w:r>
      <w:r>
        <w:rPr>
          <w:rFonts w:cs="Times New Roman"/>
          <w:szCs w:val="20"/>
        </w:rPr>
        <w:t>23073.</w:t>
      </w:r>
      <w:r w:rsidR="00732E59">
        <w:rPr>
          <w:rFonts w:cs="Times New Roman"/>
          <w:szCs w:val="20"/>
        </w:rPr>
        <w:t>023202</w:t>
      </w:r>
      <w:r>
        <w:rPr>
          <w:rFonts w:cs="Times New Roman"/>
          <w:szCs w:val="20"/>
        </w:rPr>
        <w:t>/2019-</w:t>
      </w:r>
      <w:r w:rsidR="00732E59">
        <w:rPr>
          <w:rFonts w:cs="Times New Roman"/>
          <w:szCs w:val="20"/>
        </w:rPr>
        <w:t>90</w:t>
      </w:r>
      <w:r w:rsidR="0070059F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e em observância às disposições da Lei nº 8.666, de 21 de junho de 1993</w:t>
      </w:r>
      <w:r w:rsidR="006D62AC" w:rsidRPr="00391D87">
        <w:rPr>
          <w:rFonts w:cs="Times New Roman"/>
          <w:szCs w:val="20"/>
        </w:rPr>
        <w:t xml:space="preserve">, </w:t>
      </w:r>
      <w:r w:rsidR="0070059F" w:rsidRPr="00391D87">
        <w:rPr>
          <w:rFonts w:cs="Times New Roman"/>
          <w:szCs w:val="20"/>
        </w:rPr>
        <w:t>da Lei nº 10.520, de 17 de julho de 2002</w:t>
      </w:r>
      <w:r w:rsidR="0070059F" w:rsidRPr="00583D6B">
        <w:rPr>
          <w:rFonts w:cs="Times New Roman"/>
          <w:szCs w:val="20"/>
        </w:rPr>
        <w:t xml:space="preserve">, </w:t>
      </w:r>
      <w:r w:rsidR="008035BB">
        <w:rPr>
          <w:rFonts w:cs="Times New Roman"/>
          <w:szCs w:val="20"/>
        </w:rPr>
        <w:t>d</w:t>
      </w:r>
      <w:r w:rsidR="008035BB" w:rsidRPr="008035BB">
        <w:rPr>
          <w:rFonts w:cs="Times New Roman"/>
          <w:szCs w:val="20"/>
        </w:rPr>
        <w:t>o Decreto nº 9.507, de 21 de setembro de 2018 e da Instrução Normativa SEGES/</w:t>
      </w:r>
      <w:r w:rsidR="00F74545">
        <w:rPr>
          <w:rFonts w:cs="Times New Roman"/>
          <w:szCs w:val="20"/>
        </w:rPr>
        <w:t>MP</w:t>
      </w:r>
      <w:r w:rsidR="008035BB" w:rsidRPr="008035BB">
        <w:rPr>
          <w:rFonts w:cs="Times New Roman"/>
          <w:szCs w:val="20"/>
        </w:rPr>
        <w:t xml:space="preserve"> nº 5, de 26 de maio de 2017</w:t>
      </w:r>
      <w:r w:rsidR="006D62AC" w:rsidRPr="00391D87">
        <w:rPr>
          <w:rFonts w:cs="Times New Roman"/>
          <w:szCs w:val="20"/>
        </w:rPr>
        <w:t xml:space="preserve"> e suas alterações, </w:t>
      </w:r>
      <w:r w:rsidR="0070059F" w:rsidRPr="00391D87">
        <w:rPr>
          <w:rFonts w:cs="Times New Roman"/>
          <w:szCs w:val="20"/>
        </w:rPr>
        <w:t>resolvem celebrar o presente Termo de Contrato, decorrente do Pregão</w:t>
      </w:r>
      <w:r w:rsidR="00583D6B">
        <w:rPr>
          <w:rFonts w:cs="Times New Roman"/>
          <w:szCs w:val="20"/>
        </w:rPr>
        <w:t xml:space="preserve"> </w:t>
      </w:r>
      <w:r w:rsidRPr="00D30592">
        <w:rPr>
          <w:rFonts w:cs="Times New Roman"/>
          <w:color w:val="000000" w:themeColor="text1"/>
          <w:szCs w:val="20"/>
        </w:rPr>
        <w:t>Eletrônico</w:t>
      </w:r>
      <w:r w:rsidR="0070059F" w:rsidRPr="00583D6B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nº </w:t>
      </w:r>
      <w:r w:rsidR="00751973" w:rsidRPr="00751973">
        <w:rPr>
          <w:rFonts w:cs="Times New Roman"/>
          <w:color w:val="000000" w:themeColor="text1"/>
          <w:szCs w:val="20"/>
        </w:rPr>
        <w:t xml:space="preserve">50 </w:t>
      </w:r>
      <w:r w:rsidR="0070059F" w:rsidRPr="00751973">
        <w:rPr>
          <w:rFonts w:cs="Times New Roman"/>
          <w:color w:val="000000" w:themeColor="text1"/>
          <w:szCs w:val="20"/>
        </w:rPr>
        <w:t>/20</w:t>
      </w:r>
      <w:r w:rsidR="00751973" w:rsidRPr="00751973">
        <w:rPr>
          <w:rFonts w:cs="Times New Roman"/>
          <w:color w:val="000000" w:themeColor="text1"/>
          <w:szCs w:val="20"/>
        </w:rPr>
        <w:t>19</w:t>
      </w:r>
      <w:r w:rsidR="0070059F" w:rsidRPr="00751973">
        <w:rPr>
          <w:rFonts w:cs="Times New Roman"/>
          <w:color w:val="000000" w:themeColor="text1"/>
          <w:szCs w:val="20"/>
        </w:rPr>
        <w:t>,</w:t>
      </w:r>
      <w:r w:rsidR="0070059F" w:rsidRPr="00F12D48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mediante as cláusulas e condições a seguir enunciadas.</w:t>
      </w:r>
    </w:p>
    <w:p w14:paraId="1D19C077" w14:textId="77777777" w:rsidR="0070059F" w:rsidRPr="00732E59" w:rsidRDefault="0070059F" w:rsidP="00F12D48">
      <w:pPr>
        <w:pStyle w:val="Nivel1"/>
        <w:shd w:val="clear" w:color="auto" w:fill="BFBFBF" w:themeFill="background1" w:themeFillShade="BF"/>
      </w:pPr>
      <w:r w:rsidRPr="00732E59">
        <w:t>CLÁUSULA PRIMEIRA – OBJETO</w:t>
      </w:r>
    </w:p>
    <w:p w14:paraId="1D19C078" w14:textId="1DD1B678" w:rsidR="00B01E82" w:rsidRPr="00391D87" w:rsidRDefault="0070059F" w:rsidP="001F70A3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color w:val="000000"/>
          <w:szCs w:val="20"/>
        </w:rPr>
      </w:pPr>
      <w:r w:rsidRPr="001F70A3">
        <w:rPr>
          <w:rFonts w:cs="Times New Roman"/>
          <w:color w:val="000000" w:themeColor="text1"/>
          <w:szCs w:val="20"/>
        </w:rPr>
        <w:t xml:space="preserve">O objeto do presente </w:t>
      </w:r>
      <w:r w:rsidR="00A40017" w:rsidRPr="001F70A3">
        <w:rPr>
          <w:rFonts w:cs="Times New Roman"/>
          <w:color w:val="000000" w:themeColor="text1"/>
          <w:szCs w:val="20"/>
        </w:rPr>
        <w:t xml:space="preserve">instrumento </w:t>
      </w:r>
      <w:r w:rsidRPr="001F70A3">
        <w:rPr>
          <w:rFonts w:cs="Times New Roman"/>
          <w:color w:val="000000" w:themeColor="text1"/>
          <w:szCs w:val="20"/>
        </w:rPr>
        <w:t xml:space="preserve">é a </w:t>
      </w:r>
      <w:r w:rsidR="002C6DD2" w:rsidRPr="001F70A3">
        <w:rPr>
          <w:rFonts w:cs="Times New Roman"/>
          <w:color w:val="000000" w:themeColor="text1"/>
          <w:szCs w:val="20"/>
        </w:rPr>
        <w:t>contratação de</w:t>
      </w:r>
      <w:r w:rsidR="00EF2567" w:rsidRPr="001F70A3">
        <w:rPr>
          <w:rFonts w:cs="Times New Roman"/>
          <w:color w:val="000000" w:themeColor="text1"/>
          <w:szCs w:val="20"/>
        </w:rPr>
        <w:t xml:space="preserve"> serviços de</w:t>
      </w:r>
      <w:r w:rsidRPr="001F70A3">
        <w:rPr>
          <w:rFonts w:cs="Times New Roman"/>
          <w:color w:val="000000" w:themeColor="text1"/>
          <w:szCs w:val="20"/>
        </w:rPr>
        <w:t xml:space="preserve"> </w:t>
      </w:r>
      <w:r w:rsidR="00732E59" w:rsidRPr="00596AF6">
        <w:rPr>
          <w:rFonts w:cs="Arial"/>
          <w:b/>
        </w:rPr>
        <w:t>Contratação de empresa especializada em Serviço de Assistência Técnica</w:t>
      </w:r>
      <w:r w:rsidR="00732E59">
        <w:rPr>
          <w:rFonts w:cs="Arial"/>
          <w:b/>
        </w:rPr>
        <w:t xml:space="preserve">, incluindo mão-de-obra, </w:t>
      </w:r>
      <w:r w:rsidR="00732E59" w:rsidRPr="00596AF6">
        <w:rPr>
          <w:rFonts w:cs="Arial"/>
          <w:b/>
        </w:rPr>
        <w:t>peças de reposição original do</w:t>
      </w:r>
      <w:r w:rsidR="00732E59">
        <w:rPr>
          <w:rFonts w:cs="Arial"/>
          <w:b/>
        </w:rPr>
        <w:t xml:space="preserve"> fabricante, Equipamento Backup e suprimentos (8</w:t>
      </w:r>
      <w:r w:rsidR="00732E59" w:rsidRPr="005E458C">
        <w:rPr>
          <w:rFonts w:cs="Arial"/>
          <w:b/>
        </w:rPr>
        <w:t xml:space="preserve"> caixa</w:t>
      </w:r>
      <w:r w:rsidR="00732E59">
        <w:rPr>
          <w:rFonts w:cs="Arial"/>
          <w:b/>
        </w:rPr>
        <w:t>s</w:t>
      </w:r>
      <w:r w:rsidR="00732E59" w:rsidRPr="005E458C">
        <w:rPr>
          <w:rFonts w:cs="Arial"/>
          <w:b/>
        </w:rPr>
        <w:t xml:space="preserve"> de toner </w:t>
      </w:r>
      <w:r w:rsidR="00732E59">
        <w:rPr>
          <w:rFonts w:cs="Arial"/>
          <w:b/>
        </w:rPr>
        <w:t>DT6115 anual; 12 caixas de toner 4110 anual; 2</w:t>
      </w:r>
      <w:r w:rsidR="00732E59" w:rsidRPr="005E458C">
        <w:rPr>
          <w:rFonts w:cs="Arial"/>
          <w:b/>
        </w:rPr>
        <w:t xml:space="preserve"> caixa</w:t>
      </w:r>
      <w:r w:rsidR="00732E59">
        <w:rPr>
          <w:rFonts w:cs="Arial"/>
          <w:b/>
        </w:rPr>
        <w:t>s</w:t>
      </w:r>
      <w:r w:rsidR="00732E59" w:rsidRPr="005E458C">
        <w:rPr>
          <w:rFonts w:cs="Arial"/>
          <w:b/>
        </w:rPr>
        <w:t xml:space="preserve"> </w:t>
      </w:r>
      <w:r w:rsidR="00732E59">
        <w:rPr>
          <w:rFonts w:cs="Arial"/>
          <w:b/>
        </w:rPr>
        <w:t>de cilindro 4110 anual; 2</w:t>
      </w:r>
      <w:r w:rsidR="00732E59" w:rsidRPr="005E458C">
        <w:rPr>
          <w:rFonts w:cs="Arial"/>
          <w:b/>
        </w:rPr>
        <w:t xml:space="preserve"> caixa</w:t>
      </w:r>
      <w:r w:rsidR="00732E59">
        <w:rPr>
          <w:rFonts w:cs="Arial"/>
          <w:b/>
        </w:rPr>
        <w:t>s</w:t>
      </w:r>
      <w:r w:rsidR="00732E59" w:rsidRPr="005E458C">
        <w:rPr>
          <w:rFonts w:cs="Arial"/>
          <w:b/>
        </w:rPr>
        <w:t xml:space="preserve"> d</w:t>
      </w:r>
      <w:r w:rsidR="00732E59">
        <w:rPr>
          <w:rFonts w:cs="Arial"/>
          <w:b/>
        </w:rPr>
        <w:t xml:space="preserve">e revelador 4110 anual) </w:t>
      </w:r>
      <w:r w:rsidR="00732E59" w:rsidRPr="00596AF6">
        <w:rPr>
          <w:rFonts w:cs="Arial"/>
          <w:b/>
        </w:rPr>
        <w:t xml:space="preserve">para </w:t>
      </w:r>
      <w:r w:rsidR="00732E59">
        <w:rPr>
          <w:rFonts w:cs="Arial"/>
          <w:b/>
        </w:rPr>
        <w:t xml:space="preserve">os equipamentos Xerox – modelos: </w:t>
      </w:r>
      <w:r w:rsidR="00732E59" w:rsidRPr="00596AF6">
        <w:rPr>
          <w:rFonts w:cs="Arial"/>
          <w:b/>
        </w:rPr>
        <w:t xml:space="preserve"> </w:t>
      </w:r>
      <w:r w:rsidR="00732E59">
        <w:rPr>
          <w:rFonts w:cs="Arial"/>
          <w:b/>
        </w:rPr>
        <w:t xml:space="preserve">XEROX </w:t>
      </w:r>
      <w:proofErr w:type="spellStart"/>
      <w:r w:rsidR="00732E59">
        <w:rPr>
          <w:rFonts w:cs="Arial"/>
          <w:b/>
        </w:rPr>
        <w:t>Docutech</w:t>
      </w:r>
      <w:proofErr w:type="spellEnd"/>
      <w:r w:rsidR="00732E59">
        <w:rPr>
          <w:rFonts w:cs="Arial"/>
          <w:b/>
        </w:rPr>
        <w:t xml:space="preserve"> </w:t>
      </w:r>
      <w:r w:rsidR="00732E59" w:rsidRPr="00596AF6">
        <w:rPr>
          <w:rFonts w:cs="Arial"/>
          <w:b/>
        </w:rPr>
        <w:t>6115</w:t>
      </w:r>
      <w:r w:rsidR="00732E59">
        <w:rPr>
          <w:rFonts w:cs="Arial"/>
          <w:b/>
        </w:rPr>
        <w:t xml:space="preserve"> e Xerox 4110 (duas máquinas)</w:t>
      </w:r>
      <w:r w:rsidR="001F70A3" w:rsidRPr="001F70A3">
        <w:rPr>
          <w:rFonts w:cs="Times New Roman"/>
          <w:color w:val="000000" w:themeColor="text1"/>
          <w:szCs w:val="20"/>
        </w:rPr>
        <w:t>, com fornecimento de todos os materiais, equipamentos, ferramentas e utensílios necessários, em quantidades e qualidades adequadas à perfeita execução contratual</w:t>
      </w:r>
      <w:r w:rsidR="00B01E82" w:rsidRPr="001F70A3">
        <w:rPr>
          <w:rFonts w:cs="Times New Roman"/>
          <w:color w:val="000000" w:themeColor="text1"/>
          <w:szCs w:val="20"/>
        </w:rPr>
        <w:t xml:space="preserve">, </w:t>
      </w:r>
      <w:r w:rsidR="00B01E82" w:rsidRPr="00391D87">
        <w:rPr>
          <w:rFonts w:cs="Times New Roman"/>
          <w:color w:val="000000"/>
          <w:szCs w:val="20"/>
        </w:rPr>
        <w:t>que serão prestados nas condições estabelecidas no Termo de Referência, anexo do Edital.</w:t>
      </w:r>
      <w:bookmarkStart w:id="0" w:name="_GoBack"/>
      <w:bookmarkEnd w:id="0"/>
    </w:p>
    <w:p w14:paraId="1D19C079" w14:textId="77777777" w:rsidR="0070059F" w:rsidRPr="00391D87" w:rsidRDefault="00B01E82" w:rsidP="001F70A3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lastRenderedPageBreak/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7A" w14:textId="77777777" w:rsidR="000575AE" w:rsidRDefault="000575AE" w:rsidP="001F70A3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893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276"/>
        <w:gridCol w:w="2410"/>
      </w:tblGrid>
      <w:tr w:rsidR="00965974" w:rsidRPr="005F28C1" w14:paraId="3CCE36B1" w14:textId="77777777" w:rsidTr="00184059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E948649" w14:textId="77777777" w:rsidR="00965974" w:rsidRPr="005F28C1" w:rsidRDefault="00965974" w:rsidP="00E54572">
            <w:pPr>
              <w:jc w:val="center"/>
              <w:rPr>
                <w:rFonts w:cs="Arial"/>
                <w:b/>
                <w:szCs w:val="20"/>
              </w:rPr>
            </w:pPr>
            <w:r w:rsidRPr="005F28C1">
              <w:rPr>
                <w:rFonts w:cs="Arial"/>
                <w:b/>
                <w:szCs w:val="20"/>
              </w:rPr>
              <w:t>TIPO DE SERVIÇO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2F0A6BE" w14:textId="77777777" w:rsidR="00965974" w:rsidRPr="005F28C1" w:rsidRDefault="00965974" w:rsidP="00E54572">
            <w:pPr>
              <w:jc w:val="center"/>
              <w:rPr>
                <w:rFonts w:cs="Arial"/>
                <w:b/>
                <w:szCs w:val="20"/>
              </w:rPr>
            </w:pPr>
            <w:r w:rsidRPr="005F28C1">
              <w:rPr>
                <w:rFonts w:cs="Arial"/>
                <w:b/>
                <w:szCs w:val="20"/>
              </w:rPr>
              <w:t>QTDE (UND)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6AC32C" w14:textId="77777777" w:rsidR="00965974" w:rsidRPr="005F28C1" w:rsidRDefault="00965974" w:rsidP="00E54572">
            <w:pPr>
              <w:jc w:val="center"/>
              <w:rPr>
                <w:rFonts w:cs="Arial"/>
                <w:b/>
                <w:szCs w:val="20"/>
              </w:rPr>
            </w:pPr>
            <w:r w:rsidRPr="005F28C1">
              <w:rPr>
                <w:rFonts w:cs="Arial"/>
                <w:b/>
                <w:szCs w:val="20"/>
              </w:rPr>
              <w:t xml:space="preserve">TOTAL </w:t>
            </w:r>
            <w:proofErr w:type="gramStart"/>
            <w:r w:rsidRPr="005F28C1">
              <w:rPr>
                <w:rFonts w:cs="Arial"/>
                <w:b/>
                <w:szCs w:val="20"/>
              </w:rPr>
              <w:t>ANUAL  (</w:t>
            </w:r>
            <w:proofErr w:type="gramEnd"/>
            <w:r w:rsidRPr="005F28C1">
              <w:rPr>
                <w:rFonts w:cs="Arial"/>
                <w:b/>
                <w:szCs w:val="20"/>
              </w:rPr>
              <w:t>R$)</w:t>
            </w:r>
          </w:p>
        </w:tc>
      </w:tr>
      <w:tr w:rsidR="00965974" w:rsidRPr="005F28C1" w14:paraId="478F1510" w14:textId="77777777" w:rsidTr="00CF206D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F97CD" w14:textId="77777777" w:rsidR="00965974" w:rsidRDefault="00965974" w:rsidP="00965974">
            <w:pPr>
              <w:jc w:val="both"/>
              <w:rPr>
                <w:rFonts w:cs="Arial"/>
                <w:color w:val="000000"/>
                <w:szCs w:val="20"/>
              </w:rPr>
            </w:pPr>
            <w:r w:rsidRPr="008E61F1">
              <w:rPr>
                <w:rFonts w:cs="Arial"/>
                <w:color w:val="000000"/>
                <w:szCs w:val="20"/>
              </w:rPr>
              <w:t xml:space="preserve">Assistência Técnica, incluindo mão-de-obra, peças de reposição original do fabricante, Equipamento Backup e suprimentos (8 caixas de toner DT6115 anual; 12 caixas de toner 4110 anual; 2 caixas de cilindro 4110 anual; 2 caixas de revelador 4110 anual) para os equipamentos Xerox – modelos: XEROX </w:t>
            </w:r>
            <w:proofErr w:type="spellStart"/>
            <w:r w:rsidRPr="008E61F1">
              <w:rPr>
                <w:rFonts w:cs="Arial"/>
                <w:color w:val="000000"/>
                <w:szCs w:val="20"/>
              </w:rPr>
              <w:t>Docutech</w:t>
            </w:r>
            <w:proofErr w:type="spellEnd"/>
            <w:r w:rsidRPr="008E61F1">
              <w:rPr>
                <w:rFonts w:cs="Arial"/>
                <w:color w:val="000000"/>
                <w:szCs w:val="20"/>
              </w:rPr>
              <w:t xml:space="preserve"> 6115 e Xerox 4110 (duas máquinas).</w:t>
            </w:r>
          </w:p>
          <w:p w14:paraId="4E14F79F" w14:textId="752F7CE5" w:rsidR="00965974" w:rsidRPr="005F28C1" w:rsidRDefault="00965974" w:rsidP="00965974">
            <w:pPr>
              <w:jc w:val="both"/>
              <w:rPr>
                <w:rFonts w:cs="Arial"/>
                <w:szCs w:val="20"/>
              </w:rPr>
            </w:pPr>
            <w:r w:rsidRPr="00315A5D">
              <w:rPr>
                <w:rFonts w:cs="Arial"/>
                <w:szCs w:val="20"/>
              </w:rPr>
              <w:t>Para uma franquia de 1.800.000 (um milhão e oitocentas mil) páginas/ano</w:t>
            </w:r>
            <w:r>
              <w:rPr>
                <w:rFonts w:cs="Arial"/>
                <w:szCs w:val="20"/>
              </w:rPr>
              <w:t xml:space="preserve"> </w:t>
            </w:r>
            <w:proofErr w:type="gramStart"/>
            <w:r>
              <w:rPr>
                <w:rFonts w:cs="Arial"/>
                <w:szCs w:val="20"/>
              </w:rPr>
              <w:t xml:space="preserve">e </w:t>
            </w:r>
            <w:r w:rsidRPr="00315A5D">
              <w:rPr>
                <w:rFonts w:cs="Arial"/>
                <w:szCs w:val="20"/>
              </w:rPr>
              <w:t xml:space="preserve"> </w:t>
            </w:r>
            <w:r w:rsidRPr="00315A5D">
              <w:rPr>
                <w:rFonts w:cs="Arial"/>
                <w:color w:val="FF0000"/>
                <w:szCs w:val="20"/>
              </w:rPr>
              <w:t>R</w:t>
            </w:r>
            <w:proofErr w:type="gramEnd"/>
            <w:r w:rsidRPr="00315A5D">
              <w:rPr>
                <w:rFonts w:cs="Arial"/>
                <w:color w:val="FF0000"/>
                <w:szCs w:val="20"/>
              </w:rPr>
              <w:t>$ ___,___ (XXXXXXXXXX) reais</w:t>
            </w:r>
            <w:r w:rsidRPr="00315A5D">
              <w:rPr>
                <w:rFonts w:cs="Arial"/>
                <w:szCs w:val="20"/>
              </w:rPr>
              <w:t xml:space="preserve"> por milheiro excedente.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C6801" w14:textId="13AE59E5" w:rsidR="00965974" w:rsidRPr="005F28C1" w:rsidRDefault="00965974" w:rsidP="00E5457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F10AA" w14:textId="77777777" w:rsidR="00965974" w:rsidRPr="005F28C1" w:rsidRDefault="00965974" w:rsidP="00E54572">
            <w:pPr>
              <w:jc w:val="center"/>
              <w:rPr>
                <w:rFonts w:cs="Arial"/>
                <w:szCs w:val="20"/>
              </w:rPr>
            </w:pPr>
          </w:p>
        </w:tc>
      </w:tr>
      <w:tr w:rsidR="001F70A3" w:rsidRPr="005F28C1" w14:paraId="5B9793C1" w14:textId="77777777" w:rsidTr="001F70A3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BD473" w14:textId="77777777" w:rsidR="001F70A3" w:rsidRPr="001F70A3" w:rsidRDefault="001F70A3" w:rsidP="001F70A3">
            <w:pPr>
              <w:rPr>
                <w:b/>
                <w:snapToGrid w:val="0"/>
                <w:color w:val="FF0000"/>
                <w:szCs w:val="20"/>
              </w:rPr>
            </w:pPr>
            <w:r w:rsidRPr="009345AF">
              <w:rPr>
                <w:b/>
                <w:snapToGrid w:val="0"/>
                <w:color w:val="333333"/>
                <w:szCs w:val="20"/>
              </w:rPr>
              <w:t>Valor mensal R</w:t>
            </w:r>
            <w:r w:rsidRPr="001F70A3">
              <w:rPr>
                <w:b/>
                <w:snapToGrid w:val="0"/>
                <w:color w:val="FF0000"/>
                <w:szCs w:val="20"/>
              </w:rPr>
              <w:t>$________</w:t>
            </w:r>
            <w:proofErr w:type="gramStart"/>
            <w:r w:rsidRPr="001F70A3">
              <w:rPr>
                <w:b/>
                <w:snapToGrid w:val="0"/>
                <w:color w:val="FF0000"/>
                <w:szCs w:val="20"/>
              </w:rPr>
              <w:t>_,_</w:t>
            </w:r>
            <w:proofErr w:type="gramEnd"/>
            <w:r w:rsidRPr="001F70A3">
              <w:rPr>
                <w:b/>
                <w:snapToGrid w:val="0"/>
                <w:color w:val="FF0000"/>
                <w:szCs w:val="20"/>
              </w:rPr>
              <w:t>_    (__________________________)</w:t>
            </w:r>
          </w:p>
          <w:p w14:paraId="60FCC17C" w14:textId="77777777" w:rsidR="001F70A3" w:rsidRPr="005F28C1" w:rsidRDefault="001F70A3" w:rsidP="00E54572">
            <w:pPr>
              <w:jc w:val="center"/>
              <w:rPr>
                <w:rFonts w:cs="Arial"/>
                <w:szCs w:val="20"/>
              </w:rPr>
            </w:pPr>
          </w:p>
        </w:tc>
      </w:tr>
      <w:tr w:rsidR="001F70A3" w:rsidRPr="005F28C1" w14:paraId="0F544870" w14:textId="77777777" w:rsidTr="001F70A3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CB646" w14:textId="77777777" w:rsidR="001F70A3" w:rsidRPr="009345AF" w:rsidRDefault="001F70A3" w:rsidP="001F70A3">
            <w:pPr>
              <w:rPr>
                <w:b/>
                <w:snapToGrid w:val="0"/>
                <w:color w:val="333333"/>
                <w:szCs w:val="20"/>
              </w:rPr>
            </w:pPr>
            <w:r w:rsidRPr="009345AF">
              <w:rPr>
                <w:b/>
                <w:snapToGrid w:val="0"/>
                <w:color w:val="333333"/>
                <w:szCs w:val="20"/>
              </w:rPr>
              <w:t>Valor global (anual) R$</w:t>
            </w:r>
            <w:r w:rsidRPr="001F70A3">
              <w:rPr>
                <w:b/>
                <w:snapToGrid w:val="0"/>
                <w:color w:val="FF0000"/>
                <w:szCs w:val="20"/>
              </w:rPr>
              <w:t>________</w:t>
            </w:r>
            <w:proofErr w:type="gramStart"/>
            <w:r w:rsidRPr="001F70A3">
              <w:rPr>
                <w:b/>
                <w:snapToGrid w:val="0"/>
                <w:color w:val="FF0000"/>
                <w:szCs w:val="20"/>
              </w:rPr>
              <w:t>_,_</w:t>
            </w:r>
            <w:proofErr w:type="gramEnd"/>
            <w:r w:rsidRPr="001F70A3">
              <w:rPr>
                <w:b/>
                <w:snapToGrid w:val="0"/>
                <w:color w:val="FF0000"/>
                <w:szCs w:val="20"/>
              </w:rPr>
              <w:t>_    (__________________________)</w:t>
            </w:r>
          </w:p>
          <w:p w14:paraId="036686F6" w14:textId="77777777" w:rsidR="001F70A3" w:rsidRPr="005F28C1" w:rsidRDefault="001F70A3" w:rsidP="00E54572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3FB01659" w14:textId="77777777" w:rsidR="001F70A3" w:rsidRDefault="001F70A3" w:rsidP="001F70A3">
      <w:pPr>
        <w:rPr>
          <w:b/>
          <w:snapToGrid w:val="0"/>
          <w:color w:val="333333"/>
          <w:szCs w:val="20"/>
        </w:rPr>
      </w:pPr>
    </w:p>
    <w:p w14:paraId="61B9306A" w14:textId="021DF552" w:rsidR="004D0182" w:rsidRPr="004D0182" w:rsidRDefault="004D0182" w:rsidP="004D0182">
      <w:pPr>
        <w:pStyle w:val="PargrafodaLista"/>
        <w:numPr>
          <w:ilvl w:val="1"/>
          <w:numId w:val="13"/>
        </w:numPr>
        <w:autoSpaceDE w:val="0"/>
        <w:spacing w:after="120" w:line="276" w:lineRule="auto"/>
        <w:ind w:left="0"/>
        <w:jc w:val="both"/>
        <w:rPr>
          <w:rFonts w:cs="Arial"/>
          <w:color w:val="000000"/>
          <w:szCs w:val="20"/>
        </w:rPr>
      </w:pPr>
      <w:r w:rsidRPr="004D0182">
        <w:rPr>
          <w:rFonts w:cs="Arial"/>
          <w:b/>
        </w:rPr>
        <w:t xml:space="preserve"> </w:t>
      </w:r>
      <w:r w:rsidR="00965974" w:rsidRPr="00A66FF8">
        <w:rPr>
          <w:rFonts w:cs="Arial"/>
          <w:bCs/>
          <w:color w:val="000000" w:themeColor="text1"/>
          <w:szCs w:val="20"/>
        </w:rPr>
        <w:t>N</w:t>
      </w:r>
      <w:r w:rsidR="00965974">
        <w:rPr>
          <w:rFonts w:cs="Arial"/>
          <w:bCs/>
          <w:color w:val="000000" w:themeColor="text1"/>
          <w:szCs w:val="20"/>
        </w:rPr>
        <w:t>a proposta fornecida pela contratada</w:t>
      </w:r>
      <w:r w:rsidR="00965974" w:rsidRPr="00A66FF8">
        <w:rPr>
          <w:rFonts w:cs="Arial"/>
          <w:bCs/>
          <w:color w:val="000000" w:themeColor="text1"/>
          <w:szCs w:val="20"/>
        </w:rPr>
        <w:t xml:space="preserve"> </w:t>
      </w:r>
      <w:r w:rsidR="00965974">
        <w:rPr>
          <w:rFonts w:cs="Arial"/>
          <w:bCs/>
          <w:color w:val="000000" w:themeColor="text1"/>
          <w:szCs w:val="20"/>
        </w:rPr>
        <w:t>estão</w:t>
      </w:r>
      <w:r w:rsidR="00965974" w:rsidRPr="00A66FF8">
        <w:rPr>
          <w:rFonts w:cs="Arial"/>
          <w:bCs/>
          <w:color w:val="000000" w:themeColor="text1"/>
          <w:szCs w:val="20"/>
        </w:rPr>
        <w:t xml:space="preserve"> incluídos todos os custos em geral relativos ao fornecimento da mão de obra direta e indireta necessária e imprescindível à execução integral e perfeita execução do objeto licitado, bem como todos os gastos relativos ao pagamento das taxas, ônus legais e demais encargos sociais, trabalhistas e outros que direta e</w:t>
      </w:r>
      <w:r w:rsidR="00965974">
        <w:rPr>
          <w:rFonts w:cs="Arial"/>
          <w:bCs/>
          <w:color w:val="000000" w:themeColor="text1"/>
          <w:szCs w:val="20"/>
        </w:rPr>
        <w:t xml:space="preserve"> indiretamente sejam incidentes</w:t>
      </w:r>
      <w:r w:rsidRPr="004D0182">
        <w:rPr>
          <w:rFonts w:cs="Arial"/>
          <w:szCs w:val="20"/>
        </w:rPr>
        <w:t>.</w:t>
      </w:r>
    </w:p>
    <w:p w14:paraId="1D19C09C" w14:textId="77777777" w:rsidR="0070059F" w:rsidRPr="00391D87" w:rsidRDefault="0070059F" w:rsidP="001F70A3">
      <w:pPr>
        <w:pStyle w:val="Nivel1"/>
        <w:shd w:val="clear" w:color="auto" w:fill="BFBFBF" w:themeFill="background1" w:themeFillShade="BF"/>
        <w:rPr>
          <w:bCs/>
          <w:iCs/>
        </w:rPr>
      </w:pPr>
      <w:r w:rsidRPr="00391D87">
        <w:t>CLÁUSULA SEGUNDA – VIGÊNCIA</w:t>
      </w:r>
    </w:p>
    <w:p w14:paraId="265A531A" w14:textId="77777777" w:rsidR="002049DF" w:rsidRPr="001F70A3" w:rsidRDefault="002049DF" w:rsidP="001F70A3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Arial"/>
          <w:i/>
          <w:color w:val="000000" w:themeColor="text1"/>
          <w:szCs w:val="20"/>
        </w:rPr>
      </w:pPr>
      <w:r w:rsidRPr="001F70A3">
        <w:rPr>
          <w:rFonts w:cs="Arial"/>
          <w:bCs/>
          <w:iCs/>
          <w:color w:val="000000" w:themeColor="text1"/>
          <w:szCs w:val="20"/>
        </w:rPr>
        <w:t xml:space="preserve">O prazo de vigência deste Termo de Contrato é aquele fixado no Edital, com início na data de </w:t>
      </w:r>
      <w:r w:rsidRPr="004D0182">
        <w:rPr>
          <w:rFonts w:cs="Arial"/>
          <w:bCs/>
          <w:iCs/>
          <w:color w:val="FF0000"/>
          <w:szCs w:val="20"/>
        </w:rPr>
        <w:t>.........../......../.......</w:t>
      </w:r>
      <w:r w:rsidRPr="001F70A3">
        <w:rPr>
          <w:rFonts w:cs="Arial"/>
          <w:bCs/>
          <w:iCs/>
          <w:color w:val="000000" w:themeColor="text1"/>
          <w:szCs w:val="20"/>
        </w:rPr>
        <w:t xml:space="preserve">. </w:t>
      </w:r>
      <w:proofErr w:type="gramStart"/>
      <w:r w:rsidRPr="001F70A3">
        <w:rPr>
          <w:rFonts w:cs="Arial"/>
          <w:bCs/>
          <w:iCs/>
          <w:color w:val="000000" w:themeColor="text1"/>
          <w:szCs w:val="20"/>
        </w:rPr>
        <w:t>e</w:t>
      </w:r>
      <w:proofErr w:type="gramEnd"/>
      <w:r w:rsidRPr="001F70A3">
        <w:rPr>
          <w:rFonts w:cs="Arial"/>
          <w:bCs/>
          <w:iCs/>
          <w:color w:val="000000" w:themeColor="text1"/>
          <w:szCs w:val="20"/>
        </w:rPr>
        <w:t xml:space="preserve"> encerramento </w:t>
      </w:r>
      <w:proofErr w:type="spellStart"/>
      <w:r w:rsidRPr="001F70A3">
        <w:rPr>
          <w:rFonts w:cs="Arial"/>
          <w:bCs/>
          <w:iCs/>
          <w:color w:val="000000" w:themeColor="text1"/>
          <w:szCs w:val="20"/>
        </w:rPr>
        <w:t>em</w:t>
      </w:r>
      <w:proofErr w:type="spellEnd"/>
      <w:r w:rsidRPr="001F70A3">
        <w:rPr>
          <w:rFonts w:cs="Arial"/>
          <w:bCs/>
          <w:iCs/>
          <w:color w:val="000000" w:themeColor="text1"/>
          <w:szCs w:val="20"/>
        </w:rPr>
        <w:t xml:space="preserve"> </w:t>
      </w:r>
      <w:r w:rsidRPr="004D0182">
        <w:rPr>
          <w:rFonts w:cs="Arial"/>
          <w:bCs/>
          <w:iCs/>
          <w:color w:val="FF0000"/>
          <w:szCs w:val="20"/>
        </w:rPr>
        <w:t>.........../........./..........</w:t>
      </w:r>
      <w:r w:rsidRPr="001F70A3">
        <w:rPr>
          <w:rFonts w:cs="Arial"/>
          <w:bCs/>
          <w:iCs/>
          <w:color w:val="000000" w:themeColor="text1"/>
          <w:szCs w:val="20"/>
        </w:rPr>
        <w:t xml:space="preserve">, </w:t>
      </w:r>
      <w:r w:rsidRPr="001F70A3">
        <w:rPr>
          <w:rFonts w:cs="Arial"/>
          <w:i/>
          <w:color w:val="000000" w:themeColor="text1"/>
          <w:szCs w:val="20"/>
        </w:rPr>
        <w:t>podendo ser prorrogado por interesse das partes até o  limite de 60 (sessenta) meses, desde que haja autorização formal da autoridade competente e observados os seguintes requisitos:</w:t>
      </w:r>
    </w:p>
    <w:p w14:paraId="7232CDDB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Os serviços tenham sido prestados regularmente;</w:t>
      </w:r>
    </w:p>
    <w:p w14:paraId="22103A5B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Esteja formalmente demonstrado que a forma de prestação dos serviços tem natureza continuada;  </w:t>
      </w:r>
    </w:p>
    <w:p w14:paraId="639B68D5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Seja juntada justificativa e motivo, por escrito, de que a Administração mantém interesse na realização do serviço;  </w:t>
      </w:r>
    </w:p>
    <w:p w14:paraId="2B576D01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Seja comprovado que o valor do contrato permanece economicamente vantajoso para a Administração;  </w:t>
      </w:r>
    </w:p>
    <w:p w14:paraId="53FD8F16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 xml:space="preserve">Haja manifestação expressa da contratada informando o interesse na prorrogação; </w:t>
      </w:r>
    </w:p>
    <w:p w14:paraId="41672306" w14:textId="77777777" w:rsidR="002049DF" w:rsidRPr="001F70A3" w:rsidRDefault="002049DF" w:rsidP="001F70A3">
      <w:pPr>
        <w:numPr>
          <w:ilvl w:val="2"/>
          <w:numId w:val="13"/>
        </w:numPr>
        <w:spacing w:before="120" w:after="120" w:line="276" w:lineRule="auto"/>
        <w:ind w:left="0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1F70A3">
        <w:rPr>
          <w:rFonts w:cs="Arial"/>
          <w:bCs/>
          <w:i/>
          <w:iCs/>
          <w:color w:val="000000" w:themeColor="text1"/>
          <w:szCs w:val="20"/>
        </w:rPr>
        <w:t>Seja comprovado que o contratado mantém as condições iniciais de habilitação.  </w:t>
      </w:r>
    </w:p>
    <w:p w14:paraId="0C23E97A" w14:textId="77777777" w:rsidR="002049DF" w:rsidRPr="001B4C30" w:rsidRDefault="002049DF" w:rsidP="002049DF">
      <w:pPr>
        <w:rPr>
          <w:lang w:eastAsia="en-US"/>
        </w:rPr>
      </w:pPr>
    </w:p>
    <w:p w14:paraId="1D19C0A6" w14:textId="77777777" w:rsidR="0070059F" w:rsidRPr="008E4F30" w:rsidRDefault="0070059F" w:rsidP="004D0182">
      <w:pPr>
        <w:pStyle w:val="Nivel1"/>
        <w:shd w:val="clear" w:color="auto" w:fill="BFBFBF" w:themeFill="background1" w:themeFillShade="BF"/>
        <w:rPr>
          <w:bCs/>
        </w:rPr>
      </w:pPr>
      <w:r w:rsidRPr="008E4F30">
        <w:t>CLÁUSULA TERCEIRA – PREÇO</w:t>
      </w:r>
    </w:p>
    <w:p w14:paraId="1D19C0A9" w14:textId="77777777" w:rsidR="00C3520D" w:rsidRPr="00FC1667" w:rsidRDefault="00C3520D" w:rsidP="004D0182">
      <w:pPr>
        <w:spacing w:before="120" w:after="120" w:line="276" w:lineRule="auto"/>
        <w:jc w:val="both"/>
        <w:rPr>
          <w:rFonts w:cs="Times New Roman"/>
          <w:color w:val="FF0000"/>
          <w:szCs w:val="20"/>
        </w:rPr>
      </w:pPr>
      <w:r w:rsidRPr="00FC1667">
        <w:rPr>
          <w:rFonts w:cs="Times New Roman"/>
          <w:color w:val="FF0000"/>
          <w:szCs w:val="20"/>
        </w:rPr>
        <w:t>3.1 O valor total da contratação é de R$.......... (.....)</w:t>
      </w:r>
    </w:p>
    <w:p w14:paraId="1D19C0AB" w14:textId="6326BBF2" w:rsidR="0070059F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lastRenderedPageBreak/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391D87" w:rsidRDefault="00583D6B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583D6B"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D19C0AE" w14:textId="77777777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>CLÁUSULA QUARTA – DOTAÇÃO ORÇAMENTÁRIA</w:t>
      </w:r>
    </w:p>
    <w:p w14:paraId="1D19C0AF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despesas decorrentes desta contratação estão programadas em dotação orçamentária própria, prevista no orçamento da União, para o exercício de </w:t>
      </w:r>
      <w:proofErr w:type="gramStart"/>
      <w:r w:rsidRPr="004D0182">
        <w:rPr>
          <w:rFonts w:cs="Times New Roman"/>
          <w:color w:val="FF0000"/>
          <w:szCs w:val="20"/>
        </w:rPr>
        <w:t>20....</w:t>
      </w:r>
      <w:proofErr w:type="gramEnd"/>
      <w:r w:rsidRPr="004D0182">
        <w:rPr>
          <w:rFonts w:cs="Times New Roman"/>
          <w:color w:val="FF0000"/>
          <w:szCs w:val="20"/>
        </w:rPr>
        <w:t xml:space="preserve">, </w:t>
      </w:r>
      <w:r w:rsidRPr="00391D87">
        <w:rPr>
          <w:rFonts w:cs="Times New Roman"/>
          <w:szCs w:val="20"/>
        </w:rPr>
        <w:t>na classificação abaixo:</w:t>
      </w:r>
    </w:p>
    <w:p w14:paraId="1D19C0B0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 xml:space="preserve">Gestão/Unidade:  </w:t>
      </w:r>
    </w:p>
    <w:p w14:paraId="1D19C0B1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 xml:space="preserve">Fonte: </w:t>
      </w:r>
    </w:p>
    <w:p w14:paraId="1D19C0B2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 xml:space="preserve">Programa de Trabalho:  </w:t>
      </w:r>
    </w:p>
    <w:p w14:paraId="1D19C0B3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 xml:space="preserve">Elemento de Despesa:  </w:t>
      </w:r>
    </w:p>
    <w:p w14:paraId="1D19C0B4" w14:textId="77777777" w:rsidR="005D23DB" w:rsidRPr="004D0182" w:rsidRDefault="005D23DB" w:rsidP="004D0182">
      <w:p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4D0182">
        <w:rPr>
          <w:rFonts w:cs="Arial"/>
          <w:color w:val="FF0000"/>
          <w:szCs w:val="20"/>
        </w:rPr>
        <w:t>PI:</w:t>
      </w:r>
    </w:p>
    <w:p w14:paraId="1D19C0B5" w14:textId="41A0ADA3" w:rsidR="006E3CA5" w:rsidRPr="00391D87" w:rsidRDefault="00A27DA5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No(s) exercício(s) seguinte(s), </w:t>
      </w:r>
      <w:r w:rsidR="00583D6B">
        <w:rPr>
          <w:rFonts w:cs="Arial"/>
          <w:szCs w:val="20"/>
        </w:rPr>
        <w:t xml:space="preserve">as despesas correspondentes </w:t>
      </w:r>
      <w:r w:rsidRPr="00391D87">
        <w:rPr>
          <w:rFonts w:cs="Arial"/>
          <w:szCs w:val="20"/>
        </w:rPr>
        <w:t>correrão à conta dos recursos próprios para atender às despesas da mesma natureza, cuja alocação será feita no início de cada exercício financeiro.</w:t>
      </w:r>
      <w:r w:rsidRPr="00391D87">
        <w:rPr>
          <w:rFonts w:cs="Times New Roman"/>
          <w:b/>
          <w:szCs w:val="20"/>
        </w:rPr>
        <w:t xml:space="preserve"> </w:t>
      </w:r>
    </w:p>
    <w:p w14:paraId="1D19C0B6" w14:textId="77777777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>CLÁUSULA QUINTA – PAGAMENTO</w:t>
      </w:r>
    </w:p>
    <w:p w14:paraId="48795BE5" w14:textId="67DDDDE2" w:rsidR="001053A1" w:rsidRPr="00554CF4" w:rsidRDefault="001053A1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CONTRATADA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777777" w:rsidR="006E3CA5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>CLÁUSULA SEXTA – R</w:t>
      </w:r>
      <w:r w:rsidR="00A27DA5" w:rsidRPr="00391D87">
        <w:t>E</w:t>
      </w:r>
      <w:r w:rsidR="0021493D" w:rsidRPr="00391D87">
        <w:t>AJUSTE</w:t>
      </w:r>
    </w:p>
    <w:p w14:paraId="385B1DE6" w14:textId="71E127EF" w:rsidR="00583D6B" w:rsidRPr="00683DFF" w:rsidRDefault="00583D6B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77777777" w:rsidR="0070059F" w:rsidRPr="004D0182" w:rsidRDefault="0070059F" w:rsidP="004D0182">
      <w:pPr>
        <w:pStyle w:val="Nivel1"/>
        <w:shd w:val="clear" w:color="auto" w:fill="BFBFBF" w:themeFill="background1" w:themeFillShade="BF"/>
        <w:rPr>
          <w:i/>
          <w:color w:val="000000" w:themeColor="text1"/>
        </w:rPr>
      </w:pPr>
      <w:r w:rsidRPr="004D0182">
        <w:rPr>
          <w:i/>
          <w:color w:val="000000" w:themeColor="text1"/>
        </w:rPr>
        <w:t>CLÁUSULA SÉTIMA – GARANTIA DE EXECUÇÃO</w:t>
      </w:r>
    </w:p>
    <w:p w14:paraId="25C60EA5" w14:textId="77777777" w:rsidR="00E3197B" w:rsidRPr="004D0182" w:rsidRDefault="00E3197B" w:rsidP="004D0182">
      <w:pPr>
        <w:spacing w:before="100" w:beforeAutospacing="1" w:after="100" w:afterAutospacing="1"/>
        <w:rPr>
          <w:rFonts w:cs="Arial"/>
          <w:color w:val="000000" w:themeColor="text1"/>
          <w:szCs w:val="20"/>
        </w:rPr>
      </w:pPr>
      <w:r w:rsidRPr="004D0182">
        <w:rPr>
          <w:rFonts w:cs="Arial"/>
          <w:color w:val="000000" w:themeColor="text1"/>
          <w:szCs w:val="20"/>
        </w:rPr>
        <w:t>7.1. Será exigida a prestação de garantia na presente contratação, conforme regras constantes do Termo de Referência.</w:t>
      </w:r>
    </w:p>
    <w:p w14:paraId="1D19C0C1" w14:textId="5EE397AF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 xml:space="preserve">CLÁUSULA OITAVA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77777777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t xml:space="preserve">CLÁUSULA </w:t>
      </w:r>
      <w:r w:rsidR="004615EA" w:rsidRPr="00391D87">
        <w:t>NONA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77777777" w:rsidR="0070059F" w:rsidRPr="00391D87" w:rsidRDefault="0070059F" w:rsidP="004D0182">
      <w:pPr>
        <w:pStyle w:val="Nivel1"/>
        <w:shd w:val="clear" w:color="auto" w:fill="BFBFBF" w:themeFill="background1" w:themeFillShade="BF"/>
      </w:pPr>
      <w:r w:rsidRPr="00391D87">
        <w:lastRenderedPageBreak/>
        <w:t>CLÁUSULA DÉCIMA – SANÇÕES ADMINISTRATIVAS</w:t>
      </w:r>
      <w:r w:rsidR="00D772A3" w:rsidRPr="00391D87">
        <w:t>.</w:t>
      </w:r>
    </w:p>
    <w:p w14:paraId="1D19C0C6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77777777" w:rsidR="0070059F" w:rsidRPr="00583D6B" w:rsidRDefault="0070059F" w:rsidP="004D0182">
      <w:pPr>
        <w:pStyle w:val="Nivel1"/>
        <w:shd w:val="clear" w:color="auto" w:fill="BFBFBF" w:themeFill="background1" w:themeFillShade="BF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4D0182">
      <w:pPr>
        <w:numPr>
          <w:ilvl w:val="2"/>
          <w:numId w:val="13"/>
        </w:numPr>
        <w:spacing w:before="120" w:after="120" w:line="276" w:lineRule="auto"/>
        <w:jc w:val="both"/>
      </w:pPr>
      <w:proofErr w:type="gramStart"/>
      <w:r w:rsidRPr="00583D6B">
        <w:rPr>
          <w:rFonts w:cs="Arial"/>
          <w:szCs w:val="20"/>
        </w:rPr>
        <w:t>por</w:t>
      </w:r>
      <w:proofErr w:type="gramEnd"/>
      <w:r w:rsidRPr="00583D6B">
        <w:rPr>
          <w:rFonts w:cs="Arial"/>
          <w:szCs w:val="20"/>
        </w:rPr>
        <w:t xml:space="preserve">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proofErr w:type="gramStart"/>
      <w:r w:rsidRPr="00583D6B">
        <w:rPr>
          <w:rFonts w:cs="Arial"/>
          <w:szCs w:val="20"/>
        </w:rPr>
        <w:t>amigavelmente</w:t>
      </w:r>
      <w:proofErr w:type="gramEnd"/>
      <w:r w:rsidRPr="00583D6B">
        <w:rPr>
          <w:rFonts w:cs="Arial"/>
          <w:szCs w:val="20"/>
        </w:rPr>
        <w:t xml:space="preserve">, nos termos do art. 79, inciso II, da Lei nº 8.666, de 1993. </w:t>
      </w:r>
    </w:p>
    <w:p w14:paraId="1D19C0C9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D19C0CF" w14:textId="77777777" w:rsidR="00A52E7C" w:rsidRPr="00391D87" w:rsidRDefault="00A52E7C" w:rsidP="004D0182">
      <w:pPr>
        <w:pStyle w:val="Nivel1"/>
        <w:shd w:val="clear" w:color="auto" w:fill="BFBFBF" w:themeFill="background1" w:themeFillShade="BF"/>
      </w:pPr>
      <w:r w:rsidRPr="004D0182">
        <w:rPr>
          <w:shd w:val="clear" w:color="auto" w:fill="BFBFBF" w:themeFill="background1" w:themeFillShade="BF"/>
        </w:rPr>
        <w:t>CLÁUSULA DÉCIMA SEGUNDA – VEDAÇÕES</w:t>
      </w:r>
    </w:p>
    <w:p w14:paraId="1D19C0D0" w14:textId="77777777" w:rsidR="00A52E7C" w:rsidRPr="00391D87" w:rsidRDefault="00BC10C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É vedado à CONTRATADA</w:t>
      </w:r>
      <w:r w:rsidR="00A52E7C" w:rsidRPr="00391D87">
        <w:rPr>
          <w:rFonts w:cs="Times New Roman"/>
          <w:szCs w:val="20"/>
        </w:rPr>
        <w:t>:</w:t>
      </w:r>
    </w:p>
    <w:p w14:paraId="1D19C0D1" w14:textId="77777777" w:rsidR="00BC10CF" w:rsidRPr="00391D87" w:rsidRDefault="009E57F9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C</w:t>
      </w:r>
      <w:r w:rsidR="00BC10CF" w:rsidRPr="00391D87">
        <w:rPr>
          <w:rFonts w:cs="Times New Roman"/>
          <w:szCs w:val="20"/>
        </w:rPr>
        <w:t>aucionar ou utilizar este Termo de Contrato para qualquer operaç</w:t>
      </w:r>
      <w:r w:rsidR="00A52E7C" w:rsidRPr="00391D87">
        <w:rPr>
          <w:rFonts w:cs="Times New Roman"/>
          <w:szCs w:val="20"/>
        </w:rPr>
        <w:t>ão financeira;</w:t>
      </w:r>
    </w:p>
    <w:p w14:paraId="1D19C0D2" w14:textId="77777777" w:rsidR="00A52E7C" w:rsidRDefault="009E57F9" w:rsidP="004D0182">
      <w:pPr>
        <w:numPr>
          <w:ilvl w:val="2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A52E7C" w:rsidRPr="00391D87">
        <w:rPr>
          <w:rFonts w:cs="Times New Roman"/>
          <w:szCs w:val="20"/>
        </w:rPr>
        <w:t>nterromper a execução dos serviços sob alegação de inadimplemento por parte da CONTRATANTE, salvo nos casos previstos em lei.</w:t>
      </w:r>
    </w:p>
    <w:p w14:paraId="1D19C0D3" w14:textId="77777777" w:rsidR="000D6C4C" w:rsidRPr="00391D87" w:rsidRDefault="000D6C4C" w:rsidP="004D0182">
      <w:pPr>
        <w:pStyle w:val="Nivel1"/>
        <w:shd w:val="clear" w:color="auto" w:fill="BFBFBF" w:themeFill="background1" w:themeFillShade="BF"/>
      </w:pPr>
      <w:r w:rsidRPr="00391D87">
        <w:t>CLÁUSULA DÉCIMA TERCEIRA – ALTERAÇÕES</w:t>
      </w:r>
    </w:p>
    <w:p w14:paraId="1D19C0D4" w14:textId="77777777" w:rsidR="000D6C4C" w:rsidRPr="00391D87" w:rsidRDefault="000D6C4C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Default="000D6C4C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1D19C0D7" w14:textId="77777777" w:rsidR="008B0761" w:rsidRPr="007B70CF" w:rsidRDefault="008B0761" w:rsidP="004D0182">
      <w:pPr>
        <w:pStyle w:val="Nivel1"/>
        <w:shd w:val="clear" w:color="auto" w:fill="BFBFBF" w:themeFill="background1" w:themeFillShade="BF"/>
      </w:pPr>
      <w:r w:rsidRPr="007B70CF">
        <w:lastRenderedPageBreak/>
        <w:t>CLÁUSULA DÉCIMA QUARTA – DOS CASOS OMISSOS</w:t>
      </w:r>
    </w:p>
    <w:p w14:paraId="074DBC63" w14:textId="4EF33D4C" w:rsidR="00583D6B" w:rsidRPr="00583D6B" w:rsidRDefault="008B0761" w:rsidP="004D0182">
      <w:pPr>
        <w:pStyle w:val="Nivel1"/>
        <w:numPr>
          <w:ilvl w:val="1"/>
          <w:numId w:val="13"/>
        </w:numPr>
        <w:ind w:left="0"/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77777777" w:rsidR="0070059F" w:rsidRPr="00391D87" w:rsidRDefault="000D6C4C" w:rsidP="004D0182">
      <w:pPr>
        <w:pStyle w:val="Nivel1"/>
        <w:shd w:val="clear" w:color="auto" w:fill="BFBFBF" w:themeFill="background1" w:themeFillShade="BF"/>
      </w:pPr>
      <w:r w:rsidRPr="00391D87">
        <w:t>C</w:t>
      </w:r>
      <w:r w:rsidR="0070059F" w:rsidRPr="00391D87">
        <w:t xml:space="preserve">LÁUSULA DÉCIMA </w:t>
      </w:r>
      <w:r w:rsidR="008B0761">
        <w:t>QUINTA</w:t>
      </w:r>
      <w:r w:rsidR="0070059F" w:rsidRPr="00391D87">
        <w:t xml:space="preserve"> – PUBLICAÇÃO</w:t>
      </w:r>
    </w:p>
    <w:p w14:paraId="1D19C0DA" w14:textId="77777777" w:rsidR="000D6C4C" w:rsidRDefault="00B72B3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1D19C0DB" w14:textId="77777777" w:rsidR="0070059F" w:rsidRPr="00391D87" w:rsidRDefault="000D6C4C" w:rsidP="004D0182">
      <w:pPr>
        <w:pStyle w:val="Nivel1"/>
        <w:shd w:val="clear" w:color="auto" w:fill="BFBFBF" w:themeFill="background1" w:themeFillShade="BF"/>
      </w:pPr>
      <w:r w:rsidRPr="00391D87">
        <w:t>CL</w:t>
      </w:r>
      <w:r w:rsidR="0070059F" w:rsidRPr="00391D87">
        <w:t xml:space="preserve">ÁUSULA DÉCIMA </w:t>
      </w:r>
      <w:r w:rsidR="008B0761">
        <w:t>SEXTA</w:t>
      </w:r>
      <w:r w:rsidR="0070059F" w:rsidRPr="00391D87">
        <w:t xml:space="preserve"> – FORO</w:t>
      </w:r>
    </w:p>
    <w:p w14:paraId="1D19C0DC" w14:textId="0CD9F322" w:rsidR="0070059F" w:rsidRPr="00391D87" w:rsidRDefault="0070059F" w:rsidP="004D0182">
      <w:pPr>
        <w:numPr>
          <w:ilvl w:val="1"/>
          <w:numId w:val="13"/>
        </w:numPr>
        <w:spacing w:before="120" w:after="120" w:line="276" w:lineRule="auto"/>
        <w:ind w:left="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color w:val="000000"/>
          <w:szCs w:val="20"/>
        </w:rPr>
        <w:t>d</w:t>
      </w:r>
      <w:r w:rsidR="004D0182">
        <w:rPr>
          <w:rFonts w:cs="Times New Roman"/>
          <w:color w:val="000000"/>
          <w:szCs w:val="20"/>
        </w:rPr>
        <w:t>o Estado do Pará</w:t>
      </w:r>
      <w:r w:rsidRPr="00391D87">
        <w:rPr>
          <w:rFonts w:cs="Times New Roman"/>
          <w:szCs w:val="20"/>
        </w:rPr>
        <w:t xml:space="preserve"> - 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77777777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1D19C0DF" w14:textId="77777777" w:rsidR="0070059F" w:rsidRPr="004D0182" w:rsidRDefault="0070059F" w:rsidP="008B0761">
      <w:pPr>
        <w:spacing w:after="120" w:line="360" w:lineRule="auto"/>
        <w:ind w:right="-15"/>
        <w:jc w:val="both"/>
        <w:rPr>
          <w:rFonts w:cs="Times New Roman"/>
          <w:color w:val="FF0000"/>
          <w:szCs w:val="20"/>
        </w:rPr>
      </w:pPr>
      <w:r w:rsidRPr="004D0182">
        <w:rPr>
          <w:rFonts w:cs="Times New Roman"/>
          <w:color w:val="FF0000"/>
          <w:szCs w:val="20"/>
        </w:rPr>
        <w:t xml:space="preserve">...........................................,  .......... </w:t>
      </w:r>
      <w:proofErr w:type="gramStart"/>
      <w:r w:rsidRPr="004D0182">
        <w:rPr>
          <w:rFonts w:cs="Times New Roman"/>
          <w:color w:val="FF0000"/>
          <w:szCs w:val="20"/>
        </w:rPr>
        <w:t>de</w:t>
      </w:r>
      <w:proofErr w:type="gramEnd"/>
      <w:r w:rsidRPr="004D0182">
        <w:rPr>
          <w:rFonts w:cs="Times New Roman"/>
          <w:color w:val="FF0000"/>
          <w:szCs w:val="20"/>
        </w:rPr>
        <w:t>.......................................... de 20.....</w:t>
      </w:r>
    </w:p>
    <w:p w14:paraId="1D19C0E0" w14:textId="77777777" w:rsidR="0070059F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2F6581FB" w14:textId="77777777" w:rsidR="004D0182" w:rsidRPr="00396B02" w:rsidRDefault="004D0182" w:rsidP="004D0182">
      <w:pPr>
        <w:pStyle w:val="Corpodetexto21"/>
        <w:tabs>
          <w:tab w:val="left" w:pos="0"/>
        </w:tabs>
        <w:ind w:firstLine="2835"/>
        <w:rPr>
          <w:rFonts w:eastAsia="Arial"/>
          <w:bCs/>
          <w:sz w:val="20"/>
          <w:szCs w:val="20"/>
        </w:rPr>
      </w:pPr>
      <w:r w:rsidRPr="00396B02">
        <w:rPr>
          <w:b/>
          <w:i/>
          <w:iCs/>
          <w:sz w:val="20"/>
          <w:szCs w:val="20"/>
        </w:rPr>
        <w:t>Prof. Dr. EMMANUEL ZAGURY TOURINHO</w:t>
      </w:r>
    </w:p>
    <w:p w14:paraId="64384051" w14:textId="77777777" w:rsidR="004D0182" w:rsidRPr="00396B02" w:rsidRDefault="004D0182" w:rsidP="004D0182">
      <w:pPr>
        <w:pStyle w:val="Corpodetexto22"/>
        <w:tabs>
          <w:tab w:val="left" w:pos="0"/>
        </w:tabs>
        <w:spacing w:after="0" w:line="200" w:lineRule="atLeast"/>
        <w:ind w:firstLine="2835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5D083DDD" w14:textId="77777777" w:rsidR="004D0182" w:rsidRPr="00396B02" w:rsidRDefault="004D0182" w:rsidP="004D0182">
      <w:pPr>
        <w:pStyle w:val="Corpodetexto22"/>
        <w:tabs>
          <w:tab w:val="left" w:pos="0"/>
        </w:tabs>
        <w:spacing w:after="0" w:line="200" w:lineRule="atLeast"/>
        <w:ind w:firstLine="2835"/>
        <w:jc w:val="both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Reitor da UFPA</w:t>
      </w:r>
    </w:p>
    <w:p w14:paraId="4E690EB1" w14:textId="77777777" w:rsidR="004D0182" w:rsidRPr="00391D87" w:rsidRDefault="004D0182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203A2A58" w14:textId="77777777" w:rsidR="004D0182" w:rsidRDefault="004D0182" w:rsidP="008B0761">
      <w:pPr>
        <w:spacing w:after="120"/>
        <w:jc w:val="center"/>
        <w:rPr>
          <w:rFonts w:cs="Times New Roman"/>
          <w:bCs/>
          <w:szCs w:val="20"/>
        </w:rPr>
      </w:pPr>
    </w:p>
    <w:p w14:paraId="72772A63" w14:textId="574F02AE" w:rsidR="004D0182" w:rsidRPr="00391D87" w:rsidRDefault="004D0182" w:rsidP="008B0761">
      <w:pPr>
        <w:spacing w:after="120"/>
        <w:jc w:val="center"/>
        <w:rPr>
          <w:rFonts w:cs="Times New Roman"/>
          <w:bCs/>
          <w:szCs w:val="20"/>
        </w:rPr>
      </w:pPr>
      <w:proofErr w:type="spellStart"/>
      <w:proofErr w:type="gramStart"/>
      <w:r>
        <w:rPr>
          <w:rFonts w:cs="Times New Roman"/>
          <w:bCs/>
          <w:szCs w:val="20"/>
        </w:rPr>
        <w:t>xxxxxxxxxxxxxxxxxxxxxxxxxxxxxxxxxxx</w:t>
      </w:r>
      <w:proofErr w:type="spellEnd"/>
      <w:proofErr w:type="gramEnd"/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2AB4C15A" w:rsidR="004D0182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p w14:paraId="736A514A" w14:textId="50BD7B8B" w:rsidR="004D0182" w:rsidRDefault="004D0182" w:rsidP="004D0182">
      <w:pPr>
        <w:rPr>
          <w:rFonts w:cs="Times New Roman"/>
          <w:szCs w:val="20"/>
        </w:rPr>
      </w:pPr>
    </w:p>
    <w:p w14:paraId="03A40815" w14:textId="77777777" w:rsidR="004D0182" w:rsidRPr="00396B02" w:rsidRDefault="004D0182" w:rsidP="004D0182">
      <w:pPr>
        <w:pStyle w:val="Corpodetexto22"/>
        <w:tabs>
          <w:tab w:val="left" w:pos="6360"/>
        </w:tabs>
        <w:spacing w:after="0" w:line="200" w:lineRule="atLeast"/>
        <w:ind w:left="1590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___________________________________</w:t>
      </w:r>
    </w:p>
    <w:p w14:paraId="46D6BBC9" w14:textId="77777777" w:rsidR="004D0182" w:rsidRPr="00396B02" w:rsidRDefault="004D0182" w:rsidP="004D0182">
      <w:pPr>
        <w:pStyle w:val="Corpodetexto22"/>
        <w:tabs>
          <w:tab w:val="left" w:pos="6360"/>
        </w:tabs>
        <w:spacing w:after="0" w:line="200" w:lineRule="atLeast"/>
        <w:ind w:left="1590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1º CPF Nº</w:t>
      </w:r>
    </w:p>
    <w:p w14:paraId="36EEE3AA" w14:textId="77777777" w:rsidR="004D0182" w:rsidRPr="00396B02" w:rsidRDefault="004D0182" w:rsidP="004D0182">
      <w:pPr>
        <w:pStyle w:val="Corpodetexto22"/>
        <w:tabs>
          <w:tab w:val="left" w:pos="0"/>
        </w:tabs>
        <w:spacing w:after="0" w:line="200" w:lineRule="atLeast"/>
        <w:ind w:firstLine="1575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____________________________________</w:t>
      </w:r>
    </w:p>
    <w:p w14:paraId="05A0BBD7" w14:textId="77777777" w:rsidR="004D0182" w:rsidRPr="00396B02" w:rsidRDefault="004D0182" w:rsidP="004D0182">
      <w:pPr>
        <w:pStyle w:val="Corpodetexto22"/>
        <w:tabs>
          <w:tab w:val="left" w:pos="0"/>
        </w:tabs>
        <w:spacing w:after="0" w:line="200" w:lineRule="atLeast"/>
        <w:ind w:firstLine="1575"/>
        <w:rPr>
          <w:rFonts w:ascii="Arial" w:hAnsi="Arial" w:cs="Arial"/>
          <w:bCs/>
          <w:sz w:val="20"/>
          <w:szCs w:val="20"/>
        </w:rPr>
      </w:pPr>
      <w:r w:rsidRPr="00396B02">
        <w:rPr>
          <w:rFonts w:ascii="Arial" w:hAnsi="Arial" w:cs="Arial"/>
          <w:bCs/>
          <w:sz w:val="20"/>
          <w:szCs w:val="20"/>
        </w:rPr>
        <w:t>2º CPF Nº</w:t>
      </w:r>
    </w:p>
    <w:p w14:paraId="1039607C" w14:textId="77777777" w:rsidR="0070059F" w:rsidRPr="004D0182" w:rsidRDefault="0070059F" w:rsidP="004D0182">
      <w:pPr>
        <w:rPr>
          <w:rFonts w:cs="Times New Roman"/>
          <w:szCs w:val="20"/>
        </w:rPr>
      </w:pPr>
    </w:p>
    <w:sectPr w:rsidR="0070059F" w:rsidRPr="004D0182" w:rsidSect="001F70A3">
      <w:footerReference w:type="default" r:id="rId12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E4C56" w16cid:durableId="1F7AD059"/>
  <w16cid:commentId w16cid:paraId="0912C124" w16cid:durableId="1F93BC06"/>
  <w16cid:commentId w16cid:paraId="6ABBA738" w16cid:durableId="1F93BC5A"/>
  <w16cid:commentId w16cid:paraId="58C09A0E" w16cid:durableId="1F7AD0FF"/>
  <w16cid:commentId w16cid:paraId="160D792E" w16cid:durableId="1F7AD321"/>
  <w16cid:commentId w16cid:paraId="4100671E" w16cid:durableId="1F7AD5CC"/>
  <w16cid:commentId w16cid:paraId="3AC273F9" w16cid:durableId="1F93BDF1"/>
  <w16cid:commentId w16cid:paraId="387931DE" w16cid:durableId="1F7ADB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D6165" w14:textId="77777777" w:rsidR="003605B7" w:rsidRDefault="003605B7">
      <w:r>
        <w:separator/>
      </w:r>
    </w:p>
  </w:endnote>
  <w:endnote w:type="continuationSeparator" w:id="0">
    <w:p w14:paraId="0CB973FB" w14:textId="77777777" w:rsidR="003605B7" w:rsidRDefault="0036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58137" w14:textId="77777777" w:rsidR="00751973" w:rsidRDefault="00751973" w:rsidP="00751973">
    <w:pPr>
      <w:pStyle w:val="Rodap"/>
      <w:pBdr>
        <w:top w:val="single" w:sz="4" w:space="1" w:color="auto"/>
      </w:pBdr>
      <w:shd w:val="clear" w:color="auto" w:fill="FFFFFF"/>
      <w:rPr>
        <w:rFonts w:cs="Arial"/>
        <w:sz w:val="12"/>
        <w:szCs w:val="12"/>
      </w:rPr>
    </w:pPr>
    <w:r>
      <w:rPr>
        <w:rFonts w:cs="Arial"/>
        <w:b/>
        <w:bCs/>
        <w:sz w:val="12"/>
        <w:szCs w:val="12"/>
      </w:rPr>
      <w:t xml:space="preserve">Comissão Permanente de Licitação </w:t>
    </w:r>
    <w:r>
      <w:rPr>
        <w:rFonts w:cs="Arial"/>
        <w:sz w:val="12"/>
        <w:szCs w:val="12"/>
      </w:rPr>
      <w:t>– CPL</w:t>
    </w:r>
  </w:p>
  <w:p w14:paraId="287B22E7" w14:textId="77777777" w:rsidR="00751973" w:rsidRDefault="00751973" w:rsidP="00751973">
    <w:pPr>
      <w:pStyle w:val="Rodap"/>
      <w:pBdr>
        <w:top w:val="single" w:sz="4" w:space="1" w:color="auto"/>
      </w:pBdr>
      <w:shd w:val="clear" w:color="auto" w:fill="FFFFFF"/>
      <w:rPr>
        <w:rFonts w:cs="Arial"/>
        <w:sz w:val="12"/>
        <w:szCs w:val="12"/>
      </w:rPr>
    </w:pPr>
    <w:r>
      <w:rPr>
        <w:rFonts w:cs="Arial"/>
        <w:sz w:val="12"/>
        <w:szCs w:val="12"/>
      </w:rPr>
      <w:t>Av. Augusto Corrêa nº 1, Bairro do Guamá - CEP: 66075-</w:t>
    </w:r>
    <w:proofErr w:type="gramStart"/>
    <w:r>
      <w:rPr>
        <w:rFonts w:cs="Arial"/>
        <w:sz w:val="12"/>
        <w:szCs w:val="12"/>
      </w:rPr>
      <w:t>110  /</w:t>
    </w:r>
    <w:proofErr w:type="gramEnd"/>
    <w:r>
      <w:rPr>
        <w:rFonts w:cs="Arial"/>
        <w:sz w:val="12"/>
        <w:szCs w:val="12"/>
      </w:rPr>
      <w:t xml:space="preserve">  Prédio Anexo da Reitoria, Térreo</w:t>
    </w:r>
  </w:p>
  <w:p w14:paraId="16F6C9F8" w14:textId="77777777" w:rsidR="00751973" w:rsidRDefault="00751973" w:rsidP="00751973"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  <w:t>Fones: (91) 3201-8219 e (</w:t>
    </w:r>
    <w:proofErr w:type="spellStart"/>
    <w:r>
      <w:rPr>
        <w:rFonts w:cs="Arial"/>
        <w:sz w:val="12"/>
        <w:szCs w:val="12"/>
      </w:rPr>
      <w:t>Fonefax</w:t>
    </w:r>
    <w:proofErr w:type="spellEnd"/>
    <w:r>
      <w:rPr>
        <w:rFonts w:cs="Arial"/>
        <w:sz w:val="12"/>
        <w:szCs w:val="12"/>
      </w:rPr>
      <w:t xml:space="preserve">) 3201-7292    -      E-mail: </w:t>
    </w:r>
    <w:hyperlink r:id="rId1" w:history="1">
      <w:r>
        <w:rPr>
          <w:rStyle w:val="Hyperlink"/>
          <w:sz w:val="12"/>
          <w:szCs w:val="12"/>
        </w:rPr>
        <w:t>cpl@ufpa.br</w:t>
      </w:r>
    </w:hyperlink>
  </w:p>
  <w:p w14:paraId="1D19C0F2" w14:textId="00B372BE" w:rsidR="007B3E18" w:rsidRPr="00751973" w:rsidRDefault="007B3E18" w:rsidP="0075197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C0051" w14:textId="77777777" w:rsidR="003605B7" w:rsidRDefault="003605B7">
      <w:r>
        <w:separator/>
      </w:r>
    </w:p>
  </w:footnote>
  <w:footnote w:type="continuationSeparator" w:id="0">
    <w:p w14:paraId="66B8DEF5" w14:textId="77777777" w:rsidR="003605B7" w:rsidRDefault="00360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271D3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1F70A3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3758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05B7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D0182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7DE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2E59"/>
    <w:rsid w:val="00733DE0"/>
    <w:rsid w:val="007357C5"/>
    <w:rsid w:val="007370F4"/>
    <w:rsid w:val="0074032D"/>
    <w:rsid w:val="00740D25"/>
    <w:rsid w:val="00741328"/>
    <w:rsid w:val="00745136"/>
    <w:rsid w:val="00751973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209AF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52CD3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30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65974"/>
    <w:rsid w:val="00965F08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92587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27B9"/>
    <w:rsid w:val="00BD3419"/>
    <w:rsid w:val="00BD43E5"/>
    <w:rsid w:val="00BD59E3"/>
    <w:rsid w:val="00BD7FD7"/>
    <w:rsid w:val="00BE0315"/>
    <w:rsid w:val="00BE05F0"/>
    <w:rsid w:val="00BE1219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0592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935"/>
    <w:rsid w:val="00D70593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2D48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  <w:style w:type="paragraph" w:styleId="PargrafodaLista">
    <w:name w:val="List Paragraph"/>
    <w:basedOn w:val="Normal"/>
    <w:uiPriority w:val="34"/>
    <w:qFormat/>
    <w:rsid w:val="004D0182"/>
    <w:pPr>
      <w:ind w:left="720"/>
      <w:contextualSpacing/>
    </w:pPr>
  </w:style>
  <w:style w:type="paragraph" w:customStyle="1" w:styleId="Corpodetexto22">
    <w:name w:val="Corpo de texto 22"/>
    <w:basedOn w:val="Normal"/>
    <w:rsid w:val="004D0182"/>
    <w:pPr>
      <w:suppressAutoHyphens/>
      <w:spacing w:after="120" w:line="480" w:lineRule="auto"/>
    </w:pPr>
    <w:rPr>
      <w:rFonts w:ascii="Times New Roman" w:hAnsi="Times New Roman" w:cs="Calibri"/>
      <w:sz w:val="24"/>
      <w:lang w:eastAsia="ar-SA"/>
    </w:rPr>
  </w:style>
  <w:style w:type="paragraph" w:customStyle="1" w:styleId="Corpodetexto21">
    <w:name w:val="Corpo de texto 21"/>
    <w:basedOn w:val="Normal"/>
    <w:rsid w:val="004D0182"/>
    <w:pPr>
      <w:suppressAutoHyphens/>
      <w:jc w:val="both"/>
    </w:pPr>
    <w:rPr>
      <w:rFonts w:cs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pl@ufpa.b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3ED5AD-AD49-4EAF-9E5E-6225E4547E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6475B-A368-40FE-B190-2BEC1FD9F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7FE6E-E791-4943-9C3F-00271DA8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34</TotalTime>
  <Pages>1</Pages>
  <Words>1543</Words>
  <Characters>8337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isaias barros</cp:lastModifiedBy>
  <cp:revision>15</cp:revision>
  <cp:lastPrinted>2010-11-03T20:07:00Z</cp:lastPrinted>
  <dcterms:created xsi:type="dcterms:W3CDTF">2018-12-21T14:44:00Z</dcterms:created>
  <dcterms:modified xsi:type="dcterms:W3CDTF">2019-12-10T14:46:00Z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