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0EA" w:rsidRPr="003D10EA" w:rsidRDefault="003D10EA" w:rsidP="003D10EA">
      <w:pPr>
        <w:pStyle w:val="Corpodetexto"/>
        <w:tabs>
          <w:tab w:val="left" w:pos="709"/>
        </w:tabs>
        <w:spacing w:before="79" w:line="360" w:lineRule="auto"/>
        <w:ind w:right="140"/>
        <w:jc w:val="both"/>
        <w:rPr>
          <w:b/>
          <w:bCs/>
          <w:color w:val="000000"/>
          <w:sz w:val="20"/>
          <w:szCs w:val="20"/>
        </w:rPr>
      </w:pPr>
      <w:r w:rsidRPr="003D10EA">
        <w:rPr>
          <w:noProof/>
          <w:sz w:val="20"/>
          <w:szCs w:val="20"/>
          <w:lang w:val="pt-BR" w:eastAsia="pt-BR" w:bidi="ar-SA"/>
        </w:rPr>
        <w:drawing>
          <wp:inline distT="0" distB="0" distL="0" distR="0" wp14:anchorId="3276747B" wp14:editId="055F6B2E">
            <wp:extent cx="5353050" cy="104394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1726" t="27734" r="24761" b="61486"/>
                    <a:stretch/>
                  </pic:blipFill>
                  <pic:spPr bwMode="auto">
                    <a:xfrm>
                      <a:off x="0" y="0"/>
                      <a:ext cx="5353050" cy="1043940"/>
                    </a:xfrm>
                    <a:prstGeom prst="rect">
                      <a:avLst/>
                    </a:prstGeom>
                    <a:ln>
                      <a:noFill/>
                    </a:ln>
                    <a:extLst>
                      <a:ext uri="{53640926-AAD7-44D8-BBD7-CCE9431645EC}">
                        <a14:shadowObscured xmlns:a14="http://schemas.microsoft.com/office/drawing/2010/main"/>
                      </a:ext>
                    </a:extLst>
                  </pic:spPr>
                </pic:pic>
              </a:graphicData>
            </a:graphic>
          </wp:inline>
        </w:drawing>
      </w:r>
    </w:p>
    <w:p w:rsidR="003D10EA" w:rsidRPr="003D10EA" w:rsidRDefault="003D10EA" w:rsidP="003D10EA">
      <w:pPr>
        <w:pStyle w:val="Corpodetexto"/>
        <w:tabs>
          <w:tab w:val="left" w:pos="709"/>
        </w:tabs>
        <w:spacing w:before="79" w:line="360" w:lineRule="auto"/>
        <w:ind w:right="140"/>
        <w:jc w:val="both"/>
        <w:rPr>
          <w:b/>
          <w:bCs/>
          <w:color w:val="000000"/>
          <w:sz w:val="20"/>
          <w:szCs w:val="20"/>
        </w:rPr>
      </w:pPr>
    </w:p>
    <w:p w:rsidR="003D10EA" w:rsidRPr="003D10EA" w:rsidRDefault="003D10EA" w:rsidP="003D10EA">
      <w:pPr>
        <w:pStyle w:val="Corpodetexto"/>
        <w:tabs>
          <w:tab w:val="left" w:pos="709"/>
        </w:tabs>
        <w:spacing w:before="79" w:line="360" w:lineRule="auto"/>
        <w:ind w:right="140"/>
        <w:jc w:val="both"/>
        <w:rPr>
          <w:b/>
          <w:bCs/>
          <w:color w:val="000000"/>
          <w:sz w:val="20"/>
          <w:szCs w:val="20"/>
        </w:rPr>
      </w:pPr>
      <w:r w:rsidRPr="003D10EA">
        <w:rPr>
          <w:b/>
          <w:bCs/>
          <w:color w:val="000000"/>
          <w:sz w:val="20"/>
          <w:szCs w:val="20"/>
        </w:rPr>
        <w:t>ILUSTRÍSSIMO SENHOR PRESIDENTE DA COMISSÃO PERMANENTE DE LICITAÇÃO DA CPL/UFPA</w:t>
      </w:r>
    </w:p>
    <w:p w:rsidR="003D10EA" w:rsidRPr="003D10EA" w:rsidRDefault="003D10EA" w:rsidP="003D10EA">
      <w:pPr>
        <w:pStyle w:val="Corpodetexto"/>
        <w:spacing w:line="360" w:lineRule="auto"/>
        <w:ind w:right="140"/>
        <w:jc w:val="both"/>
        <w:rPr>
          <w:color w:val="000000"/>
          <w:sz w:val="20"/>
          <w:szCs w:val="20"/>
        </w:rPr>
      </w:pPr>
    </w:p>
    <w:p w:rsidR="003D10EA" w:rsidRPr="003D10EA" w:rsidRDefault="003D10EA" w:rsidP="003D10EA">
      <w:pPr>
        <w:pStyle w:val="Corpodetexto"/>
        <w:spacing w:before="4" w:line="360" w:lineRule="auto"/>
        <w:ind w:right="140"/>
        <w:jc w:val="both"/>
        <w:rPr>
          <w:color w:val="000000"/>
          <w:sz w:val="20"/>
          <w:szCs w:val="20"/>
        </w:rPr>
      </w:pPr>
    </w:p>
    <w:p w:rsidR="003D10EA" w:rsidRPr="003D10EA" w:rsidRDefault="003D10EA" w:rsidP="003D10EA">
      <w:pPr>
        <w:pStyle w:val="Default"/>
        <w:spacing w:line="360" w:lineRule="auto"/>
        <w:jc w:val="both"/>
        <w:rPr>
          <w:rFonts w:ascii="Arial" w:hAnsi="Arial" w:cs="Arial"/>
          <w:sz w:val="20"/>
          <w:szCs w:val="20"/>
        </w:rPr>
      </w:pPr>
      <w:r w:rsidRPr="003D10EA">
        <w:rPr>
          <w:rFonts w:ascii="Arial" w:hAnsi="Arial" w:cs="Arial"/>
          <w:sz w:val="20"/>
          <w:szCs w:val="20"/>
        </w:rPr>
        <w:t xml:space="preserve">Recurso Administrativo da </w:t>
      </w:r>
      <w:r w:rsidRPr="003D10EA">
        <w:rPr>
          <w:rFonts w:ascii="Arial" w:hAnsi="Arial" w:cs="Arial"/>
          <w:b/>
          <w:bCs/>
          <w:sz w:val="20"/>
          <w:szCs w:val="20"/>
        </w:rPr>
        <w:t>Concorrência nº 02/2019</w:t>
      </w:r>
    </w:p>
    <w:p w:rsidR="003D10EA" w:rsidRPr="003D10EA" w:rsidRDefault="003D10EA" w:rsidP="003D10EA">
      <w:pPr>
        <w:pStyle w:val="Corpodetexto"/>
        <w:spacing w:before="1" w:line="360" w:lineRule="auto"/>
        <w:ind w:right="140"/>
        <w:jc w:val="both"/>
        <w:rPr>
          <w:sz w:val="20"/>
          <w:szCs w:val="20"/>
        </w:rPr>
      </w:pPr>
    </w:p>
    <w:p w:rsidR="003D10EA" w:rsidRPr="003D10EA" w:rsidRDefault="003D10EA" w:rsidP="003D10EA">
      <w:pPr>
        <w:pStyle w:val="Corpodetexto"/>
        <w:spacing w:before="201" w:line="360" w:lineRule="auto"/>
        <w:ind w:right="140"/>
        <w:jc w:val="both"/>
        <w:rPr>
          <w:sz w:val="20"/>
          <w:szCs w:val="20"/>
        </w:rPr>
      </w:pPr>
      <w:r w:rsidRPr="003D10EA">
        <w:rPr>
          <w:color w:val="000000"/>
          <w:sz w:val="20"/>
          <w:szCs w:val="20"/>
        </w:rPr>
        <w:t>PROCESSO ADMINISTRATIVO nº 010725/2018</w:t>
      </w:r>
    </w:p>
    <w:p w:rsidR="003D10EA" w:rsidRPr="003D10EA" w:rsidRDefault="003D10EA" w:rsidP="003D10EA">
      <w:pPr>
        <w:pStyle w:val="Default"/>
        <w:spacing w:line="360" w:lineRule="auto"/>
        <w:jc w:val="both"/>
        <w:rPr>
          <w:rFonts w:ascii="Arial" w:hAnsi="Arial" w:cs="Arial"/>
          <w:sz w:val="20"/>
          <w:szCs w:val="20"/>
        </w:rPr>
      </w:pPr>
    </w:p>
    <w:p w:rsidR="003D10EA" w:rsidRPr="003D10EA" w:rsidRDefault="003D10EA" w:rsidP="003D10EA">
      <w:pPr>
        <w:pStyle w:val="Corpodetexto"/>
        <w:spacing w:line="360" w:lineRule="auto"/>
        <w:ind w:right="140"/>
        <w:jc w:val="both"/>
        <w:rPr>
          <w:color w:val="000000"/>
          <w:sz w:val="20"/>
          <w:szCs w:val="20"/>
        </w:rPr>
      </w:pPr>
      <w:r w:rsidRPr="003D10EA">
        <w:rPr>
          <w:sz w:val="20"/>
          <w:szCs w:val="20"/>
        </w:rPr>
        <w:t>OBJETO:</w:t>
      </w:r>
      <w:r w:rsidRPr="003D10EA">
        <w:rPr>
          <w:b/>
          <w:bCs/>
          <w:sz w:val="20"/>
          <w:szCs w:val="20"/>
        </w:rPr>
        <w:t>CONTRATAÇÃO DE EMPRESA ESPECIALIZADA PRA A CONCLUSÃO DO BLOCO PADRÃO COM 3 PAVIMENTAÇÃO CIDADE UNIVRSITARIA/BLOCO TELECOM na cidade de Belém no estado do Para,conforme especificações contido neste Edital e seus Anexos.</w:t>
      </w:r>
    </w:p>
    <w:p w:rsidR="003D10EA" w:rsidRPr="003D10EA" w:rsidRDefault="003D10EA" w:rsidP="003D10EA">
      <w:pPr>
        <w:pStyle w:val="Corpodetexto"/>
        <w:spacing w:before="6" w:line="360" w:lineRule="auto"/>
        <w:ind w:right="140"/>
        <w:jc w:val="both"/>
        <w:rPr>
          <w:color w:val="000000"/>
          <w:sz w:val="20"/>
          <w:szCs w:val="20"/>
        </w:rPr>
      </w:pPr>
    </w:p>
    <w:p w:rsidR="003D10EA" w:rsidRPr="003D10EA" w:rsidRDefault="003D10EA" w:rsidP="003D10EA">
      <w:pPr>
        <w:tabs>
          <w:tab w:val="left" w:pos="60"/>
          <w:tab w:val="left" w:pos="120"/>
          <w:tab w:val="left" w:pos="567"/>
          <w:tab w:val="left" w:pos="709"/>
        </w:tabs>
        <w:spacing w:line="360" w:lineRule="auto"/>
        <w:ind w:right="140"/>
        <w:jc w:val="both"/>
        <w:rPr>
          <w:color w:val="000000"/>
          <w:sz w:val="20"/>
          <w:szCs w:val="20"/>
        </w:rPr>
      </w:pPr>
      <w:r w:rsidRPr="003D10EA">
        <w:rPr>
          <w:color w:val="000000"/>
          <w:sz w:val="20"/>
          <w:szCs w:val="20"/>
        </w:rPr>
        <w:tab/>
      </w:r>
      <w:r w:rsidRPr="003D10EA">
        <w:rPr>
          <w:color w:val="000000"/>
          <w:sz w:val="20"/>
          <w:szCs w:val="20"/>
        </w:rPr>
        <w:tab/>
      </w:r>
      <w:r w:rsidRPr="003D10EA">
        <w:rPr>
          <w:color w:val="000000"/>
          <w:sz w:val="20"/>
          <w:szCs w:val="20"/>
        </w:rPr>
        <w:tab/>
        <w:t xml:space="preserve"> A empresa</w:t>
      </w:r>
      <w:r w:rsidRPr="003D10EA">
        <w:rPr>
          <w:b/>
          <w:color w:val="000000"/>
          <w:sz w:val="20"/>
          <w:szCs w:val="20"/>
        </w:rPr>
        <w:t xml:space="preserve"> B R DA COSTA E ENGENHARIA LTDA-ME</w:t>
      </w:r>
      <w:r w:rsidRPr="003D10EA">
        <w:rPr>
          <w:color w:val="000000"/>
          <w:sz w:val="20"/>
          <w:szCs w:val="20"/>
        </w:rPr>
        <w:t>, CNPJ nº 01.686.018/0001-51, localizada na Av. Conselheiro Furtado n°4121 CEP: 66073-160 Belém-PA, nesta cidade, inscrita e registrada junto ao CREA sob o n. 4311EMPA, por intermédio de seu representante legal Sr. Benedito Rodrigues da Costa, engenheiro civil, portador da Carteira de Identidade CREA 17484 DPA e do CPF nº 21276919204, vem respeitosamente e tempestivamente à presença de V.Sa. apresentar:</w:t>
      </w:r>
    </w:p>
    <w:p w:rsidR="003D10EA" w:rsidRPr="003D10EA" w:rsidRDefault="003D10EA" w:rsidP="003D10EA">
      <w:pPr>
        <w:pStyle w:val="Corpodetexto"/>
        <w:spacing w:line="360" w:lineRule="auto"/>
        <w:ind w:right="140"/>
        <w:jc w:val="both"/>
        <w:rPr>
          <w:color w:val="000000"/>
          <w:sz w:val="20"/>
          <w:szCs w:val="20"/>
        </w:rPr>
      </w:pPr>
    </w:p>
    <w:p w:rsidR="003D10EA" w:rsidRPr="003D10EA" w:rsidRDefault="003D10EA" w:rsidP="003D10EA">
      <w:pPr>
        <w:pStyle w:val="Corpodetexto"/>
        <w:spacing w:before="201" w:line="360" w:lineRule="auto"/>
        <w:ind w:right="140"/>
        <w:jc w:val="both"/>
        <w:rPr>
          <w:b/>
          <w:bCs/>
          <w:color w:val="000000"/>
          <w:sz w:val="20"/>
          <w:szCs w:val="20"/>
          <w:u w:val="single"/>
        </w:rPr>
      </w:pPr>
      <w:r w:rsidRPr="003D10EA">
        <w:rPr>
          <w:b/>
          <w:bCs/>
          <w:color w:val="000000"/>
          <w:sz w:val="20"/>
          <w:szCs w:val="20"/>
          <w:u w:val="single"/>
        </w:rPr>
        <w:t>RAZÕES DE CONTRA RECURSO</w:t>
      </w:r>
      <w:r w:rsidR="00CF5CD4">
        <w:rPr>
          <w:b/>
          <w:bCs/>
          <w:color w:val="000000"/>
          <w:sz w:val="20"/>
          <w:szCs w:val="20"/>
          <w:u w:val="single"/>
        </w:rPr>
        <w:t xml:space="preserve"> ADMINISTRATIVO</w:t>
      </w:r>
      <w:bookmarkStart w:id="0" w:name="_GoBack"/>
      <w:bookmarkEnd w:id="0"/>
    </w:p>
    <w:p w:rsidR="003D10EA" w:rsidRPr="003D10EA" w:rsidRDefault="003D10EA" w:rsidP="003D10EA">
      <w:pPr>
        <w:pStyle w:val="Corpodetexto"/>
        <w:spacing w:before="201" w:after="180" w:line="360" w:lineRule="auto"/>
        <w:ind w:right="-1"/>
        <w:jc w:val="both"/>
        <w:rPr>
          <w:sz w:val="20"/>
          <w:szCs w:val="20"/>
          <w:highlight w:val="yellow"/>
          <w:lang w:val="pt-BR"/>
        </w:rPr>
      </w:pPr>
      <w:r w:rsidRPr="003D10EA">
        <w:rPr>
          <w:sz w:val="20"/>
          <w:szCs w:val="20"/>
          <w:lang w:val="pt-BR"/>
        </w:rPr>
        <w:t xml:space="preserve">Em face da INABILITAÇÃO da Empresa CONTINENTAL pela CPL/UFPA </w:t>
      </w:r>
      <w:r w:rsidR="00430328" w:rsidRPr="003D10EA">
        <w:rPr>
          <w:sz w:val="20"/>
          <w:szCs w:val="20"/>
          <w:lang w:val="pt-BR"/>
        </w:rPr>
        <w:t>da referente</w:t>
      </w:r>
      <w:r w:rsidRPr="003D10EA">
        <w:rPr>
          <w:sz w:val="20"/>
          <w:szCs w:val="20"/>
          <w:lang w:val="pt-BR"/>
        </w:rPr>
        <w:t xml:space="preserve"> concorrência nº 02/</w:t>
      </w:r>
      <w:proofErr w:type="gramStart"/>
      <w:r w:rsidRPr="003D10EA">
        <w:rPr>
          <w:sz w:val="20"/>
          <w:szCs w:val="20"/>
          <w:lang w:val="pt-BR"/>
        </w:rPr>
        <w:t>2019 ,</w:t>
      </w:r>
      <w:proofErr w:type="gramEnd"/>
      <w:r w:rsidRPr="003D10EA">
        <w:rPr>
          <w:sz w:val="20"/>
          <w:szCs w:val="20"/>
          <w:lang w:val="pt-BR"/>
        </w:rPr>
        <w:t xml:space="preserve"> processo nº 010725/2018, nos termos da fundamentação a seguir exposta </w:t>
      </w:r>
    </w:p>
    <w:p w:rsidR="003D10EA" w:rsidRPr="003D10EA" w:rsidRDefault="003D10EA" w:rsidP="003D10EA">
      <w:pPr>
        <w:tabs>
          <w:tab w:val="left" w:pos="851"/>
        </w:tabs>
        <w:spacing w:line="360" w:lineRule="auto"/>
        <w:ind w:right="-1"/>
        <w:jc w:val="both"/>
        <w:rPr>
          <w:sz w:val="20"/>
          <w:szCs w:val="20"/>
          <w:lang w:val="pt-BR"/>
        </w:rPr>
      </w:pPr>
      <w:r w:rsidRPr="003D10EA">
        <w:rPr>
          <w:sz w:val="20"/>
          <w:szCs w:val="20"/>
          <w:lang w:val="pt-BR"/>
        </w:rPr>
        <w:tab/>
        <w:t>Em primeiro plano, sobre o direito de petição, a RECORRENTE transcreve ensinamento do professor José Afonso da Silva, em sua obra “Direito Constitucional Positivo”, ed. 1.989, página 382:</w:t>
      </w:r>
    </w:p>
    <w:p w:rsidR="003D10EA" w:rsidRPr="003D10EA" w:rsidRDefault="003D10EA" w:rsidP="003D10EA">
      <w:pPr>
        <w:tabs>
          <w:tab w:val="left" w:pos="851"/>
        </w:tabs>
        <w:spacing w:line="360" w:lineRule="auto"/>
        <w:ind w:right="-1"/>
        <w:jc w:val="both"/>
        <w:rPr>
          <w:sz w:val="20"/>
          <w:szCs w:val="20"/>
          <w:lang w:val="pt-BR"/>
        </w:rPr>
      </w:pPr>
    </w:p>
    <w:p w:rsidR="003D10EA" w:rsidRPr="003D10EA" w:rsidRDefault="003D10EA" w:rsidP="003D10EA">
      <w:pPr>
        <w:spacing w:line="360" w:lineRule="auto"/>
        <w:ind w:left="2268"/>
        <w:jc w:val="both"/>
        <w:rPr>
          <w:b/>
          <w:i/>
          <w:sz w:val="20"/>
          <w:szCs w:val="20"/>
          <w:lang w:val="pt-BR"/>
        </w:rPr>
      </w:pPr>
      <w:r w:rsidRPr="003D10EA">
        <w:rPr>
          <w:b/>
          <w:i/>
          <w:sz w:val="20"/>
          <w:szCs w:val="20"/>
          <w:lang w:val="pt-BR"/>
        </w:rPr>
        <w:t xml:space="preserve">“É importante frisar que o direito de petição não pode ser destituído de eficácia. Não pode a autoridade a que é dirigido escusar-se de pronunciar sobre a petição, quer para acolhê-la </w:t>
      </w:r>
      <w:r w:rsidRPr="003D10EA">
        <w:rPr>
          <w:b/>
          <w:i/>
          <w:sz w:val="20"/>
          <w:szCs w:val="20"/>
          <w:lang w:val="pt-BR"/>
        </w:rPr>
        <w:lastRenderedPageBreak/>
        <w:t>quer para desacolhê-la com a devida motivação”.</w:t>
      </w:r>
    </w:p>
    <w:p w:rsidR="003D10EA" w:rsidRPr="003D10EA" w:rsidRDefault="003D10EA" w:rsidP="003D10EA">
      <w:pPr>
        <w:spacing w:line="360" w:lineRule="auto"/>
        <w:ind w:left="2268"/>
        <w:jc w:val="both"/>
        <w:rPr>
          <w:sz w:val="20"/>
          <w:szCs w:val="20"/>
          <w:lang w:val="pt-BR"/>
        </w:rPr>
      </w:pPr>
    </w:p>
    <w:p w:rsidR="003D10EA" w:rsidRPr="003D10EA" w:rsidRDefault="003D10EA" w:rsidP="003D10EA">
      <w:pPr>
        <w:tabs>
          <w:tab w:val="left" w:pos="851"/>
        </w:tabs>
        <w:spacing w:line="360" w:lineRule="auto"/>
        <w:jc w:val="both"/>
        <w:rPr>
          <w:sz w:val="20"/>
          <w:szCs w:val="20"/>
          <w:lang w:val="pt-BR"/>
        </w:rPr>
      </w:pPr>
      <w:r w:rsidRPr="003D10EA">
        <w:rPr>
          <w:sz w:val="20"/>
          <w:szCs w:val="20"/>
          <w:lang w:val="pt-BR"/>
        </w:rPr>
        <w:tab/>
        <w:t xml:space="preserve">Também o renomado Mestre Marçal </w:t>
      </w:r>
      <w:proofErr w:type="spellStart"/>
      <w:r w:rsidRPr="003D10EA">
        <w:rPr>
          <w:sz w:val="20"/>
          <w:szCs w:val="20"/>
          <w:lang w:val="pt-BR"/>
        </w:rPr>
        <w:t>Justen</w:t>
      </w:r>
      <w:proofErr w:type="spellEnd"/>
      <w:r w:rsidRPr="003D10EA">
        <w:rPr>
          <w:sz w:val="20"/>
          <w:szCs w:val="20"/>
          <w:lang w:val="pt-BR"/>
        </w:rPr>
        <w:t xml:space="preserve"> filho, </w:t>
      </w:r>
      <w:r w:rsidRPr="003D10EA">
        <w:rPr>
          <w:i/>
          <w:sz w:val="20"/>
          <w:szCs w:val="20"/>
          <w:lang w:val="pt-BR"/>
        </w:rPr>
        <w:t>“in”</w:t>
      </w:r>
      <w:r w:rsidRPr="003D10EA">
        <w:rPr>
          <w:sz w:val="20"/>
          <w:szCs w:val="20"/>
          <w:lang w:val="pt-BR"/>
        </w:rPr>
        <w:t xml:space="preserve"> Comentários à </w:t>
      </w:r>
      <w:hyperlink r:id="rId6">
        <w:r w:rsidRPr="003D10EA">
          <w:rPr>
            <w:rStyle w:val="Link"/>
            <w:color w:val="00000A"/>
            <w:sz w:val="20"/>
            <w:szCs w:val="20"/>
            <w:lang w:val="pt-BR"/>
          </w:rPr>
          <w:t>Lei de Licitações</w:t>
        </w:r>
      </w:hyperlink>
      <w:r w:rsidRPr="003D10EA">
        <w:rPr>
          <w:sz w:val="20"/>
          <w:szCs w:val="20"/>
          <w:lang w:val="pt-BR"/>
        </w:rPr>
        <w:t xml:space="preserve"> e Contratos Administrativos, 8ª ed., pág. 647 assim assevera:</w:t>
      </w:r>
    </w:p>
    <w:p w:rsidR="003D10EA" w:rsidRPr="003D10EA" w:rsidRDefault="003D10EA" w:rsidP="003D10EA">
      <w:pPr>
        <w:spacing w:line="360" w:lineRule="auto"/>
        <w:ind w:left="2268"/>
        <w:jc w:val="both"/>
        <w:rPr>
          <w:b/>
          <w:i/>
          <w:sz w:val="20"/>
          <w:szCs w:val="20"/>
          <w:lang w:val="pt-BR"/>
        </w:rPr>
      </w:pPr>
      <w:r w:rsidRPr="003D10EA">
        <w:rPr>
          <w:b/>
          <w:i/>
          <w:sz w:val="20"/>
          <w:szCs w:val="20"/>
          <w:lang w:val="pt-BR"/>
        </w:rPr>
        <w:t xml:space="preserve">“A </w:t>
      </w:r>
      <w:hyperlink r:id="rId7">
        <w:r w:rsidRPr="003D10EA">
          <w:rPr>
            <w:rStyle w:val="Link"/>
            <w:b/>
            <w:i/>
            <w:color w:val="00000A"/>
            <w:sz w:val="20"/>
            <w:szCs w:val="20"/>
            <w:lang w:val="pt-BR"/>
          </w:rPr>
          <w:t>Constituição Federal</w:t>
        </w:r>
      </w:hyperlink>
      <w:r w:rsidRPr="003D10EA">
        <w:rPr>
          <w:b/>
          <w:i/>
          <w:sz w:val="20"/>
          <w:szCs w:val="20"/>
          <w:lang w:val="pt-BR"/>
        </w:rPr>
        <w:t xml:space="preserve"> assegura, de modo genérico, o direito de petição (art. 5º, XXXIV, a), como instrumento de defesa dos direitos pessoais, especialmente contra atos administrativos inválidos. Além disso, a </w:t>
      </w:r>
      <w:hyperlink r:id="rId8">
        <w:r w:rsidRPr="003D10EA">
          <w:rPr>
            <w:rStyle w:val="Link"/>
            <w:b/>
            <w:i/>
            <w:color w:val="00000A"/>
            <w:sz w:val="20"/>
            <w:szCs w:val="20"/>
            <w:lang w:val="pt-BR"/>
          </w:rPr>
          <w:t>Constituição</w:t>
        </w:r>
      </w:hyperlink>
      <w:r w:rsidRPr="003D10EA">
        <w:rPr>
          <w:b/>
          <w:i/>
          <w:sz w:val="20"/>
          <w:szCs w:val="20"/>
          <w:lang w:val="pt-BR"/>
        </w:rPr>
        <w:t xml:space="preserve"> assegura a publicidade dos atos administrativos (art. 37) e o direito ao contraditório e à ampla defesa (art. 5º, inc. LV).”</w:t>
      </w:r>
    </w:p>
    <w:p w:rsidR="003D10EA" w:rsidRPr="003D10EA" w:rsidRDefault="003D10EA" w:rsidP="003D10EA">
      <w:pPr>
        <w:spacing w:line="360" w:lineRule="auto"/>
        <w:ind w:left="2268"/>
        <w:jc w:val="both"/>
        <w:rPr>
          <w:sz w:val="20"/>
          <w:szCs w:val="20"/>
          <w:lang w:val="pt-BR"/>
        </w:rPr>
      </w:pPr>
    </w:p>
    <w:p w:rsidR="003D10EA" w:rsidRPr="003D10EA" w:rsidRDefault="003D10EA" w:rsidP="003D10EA">
      <w:pPr>
        <w:tabs>
          <w:tab w:val="left" w:pos="851"/>
        </w:tabs>
        <w:spacing w:line="360" w:lineRule="auto"/>
        <w:jc w:val="both"/>
        <w:rPr>
          <w:sz w:val="20"/>
          <w:szCs w:val="20"/>
          <w:lang w:val="pt-BR"/>
        </w:rPr>
      </w:pPr>
      <w:r w:rsidRPr="003D10EA">
        <w:rPr>
          <w:sz w:val="20"/>
          <w:szCs w:val="20"/>
          <w:lang w:val="pt-BR"/>
        </w:rPr>
        <w:tab/>
        <w:t xml:space="preserve">Assim, requer a RECORRENTE que as razões aqui formuladas sejam devidamente autuadas e, se não acolhidas, o que se admite apenas e tão somente </w:t>
      </w:r>
      <w:r w:rsidRPr="003D10EA">
        <w:rPr>
          <w:i/>
          <w:sz w:val="20"/>
          <w:szCs w:val="20"/>
          <w:lang w:val="pt-BR"/>
        </w:rPr>
        <w:t xml:space="preserve">“ad </w:t>
      </w:r>
      <w:proofErr w:type="spellStart"/>
      <w:r w:rsidRPr="003D10EA">
        <w:rPr>
          <w:i/>
          <w:sz w:val="20"/>
          <w:szCs w:val="20"/>
          <w:lang w:val="pt-BR"/>
        </w:rPr>
        <w:t>argumentandum</w:t>
      </w:r>
      <w:proofErr w:type="spellEnd"/>
      <w:r w:rsidRPr="003D10EA">
        <w:rPr>
          <w:i/>
          <w:sz w:val="20"/>
          <w:szCs w:val="20"/>
          <w:lang w:val="pt-BR"/>
        </w:rPr>
        <w:t>”</w:t>
      </w:r>
      <w:r w:rsidRPr="003D10EA">
        <w:rPr>
          <w:sz w:val="20"/>
          <w:szCs w:val="20"/>
          <w:lang w:val="pt-BR"/>
        </w:rPr>
        <w:t>, que haja uma decisão motivada sobre o pedido formulado.</w:t>
      </w:r>
    </w:p>
    <w:p w:rsidR="003D10EA" w:rsidRPr="003D10EA" w:rsidRDefault="003D10EA" w:rsidP="003D10EA">
      <w:pPr>
        <w:spacing w:line="360" w:lineRule="auto"/>
        <w:jc w:val="both"/>
        <w:rPr>
          <w:sz w:val="20"/>
          <w:szCs w:val="20"/>
          <w:lang w:val="pt-BR"/>
        </w:rPr>
      </w:pPr>
    </w:p>
    <w:p w:rsidR="003D10EA" w:rsidRPr="003D10EA" w:rsidRDefault="003D10EA" w:rsidP="003D10EA">
      <w:pPr>
        <w:spacing w:line="360" w:lineRule="auto"/>
        <w:jc w:val="both"/>
        <w:rPr>
          <w:b/>
          <w:sz w:val="20"/>
          <w:szCs w:val="20"/>
          <w:lang w:val="pt-BR"/>
        </w:rPr>
      </w:pPr>
      <w:r w:rsidRPr="003D10EA">
        <w:rPr>
          <w:b/>
          <w:sz w:val="20"/>
          <w:szCs w:val="20"/>
          <w:lang w:val="pt-BR"/>
        </w:rPr>
        <w:t>2 - DOS FATOS E DO DIREITO</w:t>
      </w:r>
    </w:p>
    <w:p w:rsidR="003D10EA" w:rsidRPr="003D10EA" w:rsidRDefault="003D10EA" w:rsidP="003D10EA">
      <w:pPr>
        <w:spacing w:after="120"/>
        <w:ind w:firstLine="709"/>
        <w:jc w:val="both"/>
        <w:rPr>
          <w:sz w:val="20"/>
          <w:szCs w:val="20"/>
        </w:rPr>
      </w:pPr>
      <w:r w:rsidRPr="003D10EA">
        <w:rPr>
          <w:sz w:val="20"/>
          <w:szCs w:val="20"/>
        </w:rPr>
        <w:t xml:space="preserve">no dia </w:t>
      </w:r>
      <w:r w:rsidRPr="003D10EA">
        <w:rPr>
          <w:b/>
          <w:sz w:val="20"/>
          <w:szCs w:val="20"/>
          <w:u w:val="single"/>
        </w:rPr>
        <w:t>17 DE OUTUBRO DE  2019, ÀS 10 (DEZ) HORAS,</w:t>
      </w:r>
      <w:r w:rsidRPr="003D10EA">
        <w:rPr>
          <w:sz w:val="20"/>
          <w:szCs w:val="20"/>
        </w:rPr>
        <w:t xml:space="preserve"> horário local, no Auditório do Prédio Anexo da Reitoria, no Setor Básico, Campus Universitário do Guamá, Belém-PA, procederá o recebimento dos envelopes relativos à Habilitação e Proposta para a </w:t>
      </w:r>
      <w:r w:rsidRPr="003D10EA">
        <w:rPr>
          <w:b/>
          <w:bCs/>
          <w:sz w:val="20"/>
          <w:szCs w:val="20"/>
        </w:rPr>
        <w:t>CONCORRÊNCIA</w:t>
      </w:r>
      <w:r w:rsidRPr="003D10EA">
        <w:rPr>
          <w:b/>
          <w:sz w:val="20"/>
          <w:szCs w:val="20"/>
        </w:rPr>
        <w:t xml:space="preserve"> Nº 02/2019</w:t>
      </w:r>
      <w:r w:rsidRPr="003D10EA">
        <w:rPr>
          <w:sz w:val="20"/>
          <w:szCs w:val="20"/>
        </w:rPr>
        <w:t xml:space="preserve">, tipo </w:t>
      </w:r>
      <w:r w:rsidRPr="003D10EA">
        <w:rPr>
          <w:b/>
          <w:bCs/>
          <w:sz w:val="20"/>
          <w:szCs w:val="20"/>
        </w:rPr>
        <w:t>MENOR PREÇO GLOBAL</w:t>
      </w:r>
      <w:r w:rsidRPr="003D10EA">
        <w:rPr>
          <w:sz w:val="20"/>
          <w:szCs w:val="20"/>
        </w:rPr>
        <w:t>, no regime de Empreitada por Preço Global</w:t>
      </w:r>
      <w:r w:rsidRPr="003D10EA">
        <w:rPr>
          <w:b/>
          <w:bCs/>
          <w:sz w:val="20"/>
          <w:szCs w:val="20"/>
        </w:rPr>
        <w:t xml:space="preserve">, </w:t>
      </w:r>
      <w:r w:rsidRPr="003D10EA">
        <w:rPr>
          <w:sz w:val="20"/>
          <w:szCs w:val="20"/>
        </w:rPr>
        <w:t>em conformidade com o</w:t>
      </w:r>
      <w:r w:rsidRPr="003D10EA">
        <w:rPr>
          <w:b/>
          <w:bCs/>
          <w:sz w:val="20"/>
          <w:szCs w:val="20"/>
        </w:rPr>
        <w:t xml:space="preserve"> </w:t>
      </w:r>
      <w:r w:rsidRPr="003D10EA">
        <w:rPr>
          <w:bCs/>
          <w:sz w:val="20"/>
          <w:szCs w:val="20"/>
        </w:rPr>
        <w:t xml:space="preserve">neste edital e seus anexos, </w:t>
      </w:r>
      <w:r w:rsidRPr="003D10EA">
        <w:rPr>
          <w:sz w:val="20"/>
          <w:szCs w:val="20"/>
        </w:rPr>
        <w:t xml:space="preserve">Lei 8.666/93, de 21/06/93, assim como outras normas aplicáveis à Licitação no âmbito da Administração Pública Federal. </w:t>
      </w:r>
    </w:p>
    <w:p w:rsidR="003D10EA" w:rsidRPr="003D10EA" w:rsidRDefault="003D10EA" w:rsidP="003D10EA">
      <w:pPr>
        <w:ind w:firstLine="709"/>
        <w:jc w:val="both"/>
        <w:rPr>
          <w:sz w:val="20"/>
          <w:szCs w:val="20"/>
        </w:rPr>
      </w:pPr>
      <w:r w:rsidRPr="003D10EA">
        <w:rPr>
          <w:sz w:val="20"/>
          <w:szCs w:val="20"/>
        </w:rPr>
        <w:t xml:space="preserve">A presente licitação realizar-se-á, na forma do art. 45, § 1º, inciso I, do tipo Menor Preço, regendo-se pelas normas e disposições da Lei nº. 8.666, de 21/06/93 e suas alterações, Lei nº. 9.854, de 27/10/99, Lei Complementar nº 123, de 14/12/2006 e suas alterações, Decreto nº. 4.358, de 05/09/02 e pela Instrução Normativa MARE nº. 05, datada de 21/07/95 e suas alterações posteriores, em seqüência denominada simplesmente IN MARE nº. 05/95, baixada pelo Ministério de Administração e Reforma do Estado – MARE, Decreto nº. 3.722, de 09/01/01, Decreto nº. 7.983/2013 e Instrução Normativa nº 05, de 26/05/2017   da SLTI do MPOG demais legislações pertinentes. </w:t>
      </w:r>
    </w:p>
    <w:p w:rsidR="003D10EA" w:rsidRPr="003D10EA" w:rsidRDefault="003D10EA" w:rsidP="003D10EA">
      <w:pPr>
        <w:spacing w:after="120"/>
        <w:jc w:val="both"/>
        <w:rPr>
          <w:sz w:val="20"/>
          <w:szCs w:val="20"/>
        </w:rPr>
      </w:pPr>
      <w:r w:rsidRPr="003D10EA">
        <w:rPr>
          <w:sz w:val="20"/>
          <w:szCs w:val="20"/>
          <w:lang w:val="pt-BR"/>
        </w:rPr>
        <w:tab/>
      </w:r>
      <w:r w:rsidRPr="003D10EA">
        <w:rPr>
          <w:sz w:val="20"/>
          <w:szCs w:val="20"/>
        </w:rPr>
        <w:t xml:space="preserve"> </w:t>
      </w:r>
    </w:p>
    <w:p w:rsidR="003D10EA" w:rsidRPr="003D10EA" w:rsidRDefault="003D10EA" w:rsidP="003D10EA">
      <w:pPr>
        <w:spacing w:line="360" w:lineRule="auto"/>
        <w:jc w:val="both"/>
        <w:rPr>
          <w:bCs/>
          <w:sz w:val="20"/>
          <w:szCs w:val="20"/>
        </w:rPr>
      </w:pPr>
      <w:r w:rsidRPr="003D10EA">
        <w:rPr>
          <w:bCs/>
          <w:sz w:val="20"/>
          <w:szCs w:val="20"/>
        </w:rPr>
        <w:tab/>
        <w:t xml:space="preserve">Desta forma, a empresa Continental concorreu a licitação mencionada, tendo sido inabiltitada  com o argumento da empresa </w:t>
      </w:r>
      <w:r w:rsidR="00430328">
        <w:rPr>
          <w:bCs/>
          <w:sz w:val="20"/>
          <w:szCs w:val="20"/>
        </w:rPr>
        <w:t>JNS</w:t>
      </w:r>
      <w:r w:rsidRPr="003D10EA">
        <w:rPr>
          <w:bCs/>
          <w:sz w:val="20"/>
          <w:szCs w:val="20"/>
        </w:rPr>
        <w:t xml:space="preserve"> de que o Termo de Compromisso da empresa licitante de que o(s) responsável(is) técnico(s) detentor(es) do(s) Atestado(s), referidos nos subitens 6.8.4.b será(ao) responsável(is) técnico(s) pela execução da obra. Este Termo deverá ser assinado conjuntamente pelo(s) representante(s) legal(is) da empresa licitante e pelo(s) responsável(is) técnico(s)</w:t>
      </w:r>
    </w:p>
    <w:p w:rsidR="003D10EA" w:rsidRPr="003D10EA" w:rsidRDefault="003D10EA" w:rsidP="003D10EA">
      <w:pPr>
        <w:pStyle w:val="Corpodetexto"/>
        <w:spacing w:line="360" w:lineRule="auto"/>
        <w:ind w:right="140"/>
        <w:jc w:val="both"/>
        <w:rPr>
          <w:bCs/>
          <w:sz w:val="20"/>
          <w:szCs w:val="20"/>
        </w:rPr>
      </w:pPr>
    </w:p>
    <w:p w:rsidR="003D10EA" w:rsidRPr="003D10EA" w:rsidRDefault="003D10EA" w:rsidP="003D10EA">
      <w:pPr>
        <w:pStyle w:val="Corpodetexto"/>
        <w:spacing w:line="360" w:lineRule="auto"/>
        <w:ind w:right="140"/>
        <w:jc w:val="both"/>
        <w:rPr>
          <w:bCs/>
          <w:sz w:val="20"/>
          <w:szCs w:val="20"/>
        </w:rPr>
      </w:pPr>
      <w:r w:rsidRPr="003D10EA">
        <w:rPr>
          <w:bCs/>
          <w:sz w:val="20"/>
          <w:szCs w:val="20"/>
        </w:rPr>
        <w:tab/>
        <w:t>Ora, há de frisar que  há  previsão editalícea no sentido de que o responsável técnico da empresa deve ser indicado e o termo deve ser assinado conjuntamente pelos representantes legais da empresa licitante e pelo responsavel técnico.</w:t>
      </w:r>
    </w:p>
    <w:p w:rsidR="003D10EA" w:rsidRPr="003D10EA" w:rsidRDefault="003D10EA" w:rsidP="003D10EA">
      <w:pPr>
        <w:pStyle w:val="Corpodetexto"/>
        <w:spacing w:line="360" w:lineRule="auto"/>
        <w:ind w:right="140"/>
        <w:jc w:val="both"/>
        <w:rPr>
          <w:bCs/>
          <w:sz w:val="20"/>
          <w:szCs w:val="20"/>
        </w:rPr>
      </w:pPr>
    </w:p>
    <w:p w:rsidR="003D10EA" w:rsidRDefault="003D10EA" w:rsidP="003D10EA">
      <w:pPr>
        <w:pStyle w:val="Corpodetexto"/>
        <w:spacing w:line="360" w:lineRule="auto"/>
        <w:ind w:right="140"/>
        <w:jc w:val="both"/>
        <w:rPr>
          <w:bCs/>
          <w:sz w:val="20"/>
          <w:szCs w:val="20"/>
        </w:rPr>
      </w:pPr>
    </w:p>
    <w:p w:rsidR="003D10EA" w:rsidRPr="003D10EA" w:rsidRDefault="003D10EA" w:rsidP="003D10EA">
      <w:pPr>
        <w:pStyle w:val="Corpodetexto"/>
        <w:spacing w:line="360" w:lineRule="auto"/>
        <w:ind w:right="140"/>
        <w:jc w:val="both"/>
        <w:rPr>
          <w:bCs/>
          <w:sz w:val="20"/>
          <w:szCs w:val="20"/>
        </w:rPr>
      </w:pPr>
    </w:p>
    <w:p w:rsidR="003D10EA" w:rsidRPr="003D10EA" w:rsidRDefault="003D10EA" w:rsidP="003D10EA">
      <w:pPr>
        <w:pStyle w:val="Corpodetexto"/>
        <w:spacing w:line="360" w:lineRule="auto"/>
        <w:ind w:right="140"/>
        <w:jc w:val="both"/>
        <w:rPr>
          <w:bCs/>
          <w:sz w:val="20"/>
          <w:szCs w:val="20"/>
        </w:rPr>
      </w:pPr>
    </w:p>
    <w:p w:rsidR="003D10EA" w:rsidRPr="003D10EA" w:rsidRDefault="003D10EA" w:rsidP="003D10EA">
      <w:pPr>
        <w:adjustRightInd w:val="0"/>
        <w:spacing w:line="360" w:lineRule="auto"/>
        <w:jc w:val="both"/>
        <w:rPr>
          <w:sz w:val="20"/>
          <w:szCs w:val="20"/>
          <w:lang w:val="pt-BR"/>
        </w:rPr>
      </w:pPr>
      <w:r w:rsidRPr="003D10EA">
        <w:rPr>
          <w:rFonts w:eastAsiaTheme="minorHAnsi"/>
          <w:sz w:val="20"/>
          <w:szCs w:val="20"/>
          <w:lang w:val="pt-BR" w:eastAsia="en-US" w:bidi="ar-SA"/>
        </w:rPr>
        <w:lastRenderedPageBreak/>
        <w:tab/>
      </w:r>
    </w:p>
    <w:p w:rsidR="003D10EA" w:rsidRPr="003D10EA" w:rsidRDefault="003D10EA" w:rsidP="003D10EA">
      <w:pPr>
        <w:pStyle w:val="Corpodetexto"/>
        <w:spacing w:before="6" w:line="360" w:lineRule="auto"/>
        <w:ind w:right="140"/>
        <w:jc w:val="both"/>
        <w:rPr>
          <w:sz w:val="20"/>
          <w:szCs w:val="20"/>
          <w:lang w:val="pt-BR"/>
        </w:rPr>
      </w:pPr>
    </w:p>
    <w:p w:rsidR="003D10EA" w:rsidRPr="003D10EA" w:rsidRDefault="003D10EA" w:rsidP="003D10EA">
      <w:pPr>
        <w:pStyle w:val="Corpodetexto"/>
        <w:spacing w:before="6" w:line="360" w:lineRule="auto"/>
        <w:ind w:right="140"/>
        <w:jc w:val="both"/>
        <w:rPr>
          <w:b/>
          <w:sz w:val="20"/>
          <w:szCs w:val="20"/>
          <w:u w:val="single"/>
          <w:lang w:val="pt-BR"/>
        </w:rPr>
      </w:pPr>
      <w:r w:rsidRPr="003D10EA">
        <w:rPr>
          <w:b/>
          <w:sz w:val="20"/>
          <w:szCs w:val="20"/>
          <w:u w:val="single"/>
          <w:lang w:val="pt-BR"/>
        </w:rPr>
        <w:t>PRINCÍPIO DO JULGAMENTO OBJETIVO E PRINCÍPIO DA COMPETITIVIDADE</w:t>
      </w:r>
    </w:p>
    <w:p w:rsidR="003D10EA" w:rsidRPr="003D10EA" w:rsidRDefault="003D10EA" w:rsidP="003D10EA">
      <w:pPr>
        <w:pStyle w:val="Corpodetexto"/>
        <w:spacing w:before="6" w:line="360" w:lineRule="auto"/>
        <w:ind w:right="140"/>
        <w:jc w:val="both"/>
        <w:rPr>
          <w:sz w:val="20"/>
          <w:szCs w:val="20"/>
          <w:lang w:val="pt-BR"/>
        </w:rPr>
      </w:pPr>
    </w:p>
    <w:p w:rsidR="003D10EA" w:rsidRPr="003D10EA" w:rsidRDefault="003D10EA" w:rsidP="003D10EA">
      <w:pPr>
        <w:pStyle w:val="Corpodetexto"/>
        <w:spacing w:before="6" w:line="360" w:lineRule="auto"/>
        <w:ind w:right="140"/>
        <w:jc w:val="both"/>
        <w:rPr>
          <w:sz w:val="20"/>
          <w:szCs w:val="20"/>
          <w:lang w:val="pt-BR"/>
        </w:rPr>
      </w:pPr>
      <w:r w:rsidRPr="003D10EA">
        <w:rPr>
          <w:sz w:val="20"/>
          <w:szCs w:val="20"/>
          <w:lang w:val="pt-BR"/>
        </w:rPr>
        <w:tab/>
        <w:t xml:space="preserve">Outro ponto importante se refere ao chamado princípio do julgamento objetivo, que deve observar o critério objetivo </w:t>
      </w:r>
      <w:r w:rsidRPr="003D10EA">
        <w:rPr>
          <w:b/>
          <w:sz w:val="20"/>
          <w:szCs w:val="20"/>
          <w:lang w:val="pt-BR"/>
        </w:rPr>
        <w:t>previsto no Edital,</w:t>
      </w:r>
      <w:r w:rsidRPr="003D10EA">
        <w:rPr>
          <w:sz w:val="20"/>
          <w:szCs w:val="20"/>
          <w:lang w:val="pt-BR"/>
        </w:rPr>
        <w:t xml:space="preserve"> ou seja, apoia-se em fatos concretos exigidos pela Administração e confrontados com as propostas oferecidas pelos licitantes, conforme se verifica nos artigos 44, caput, e 45, caput, da Lei nº 8.666/1993, in </w:t>
      </w:r>
      <w:proofErr w:type="spellStart"/>
      <w:r w:rsidRPr="003D10EA">
        <w:rPr>
          <w:sz w:val="20"/>
          <w:szCs w:val="20"/>
          <w:lang w:val="pt-BR"/>
        </w:rPr>
        <w:t>verbis</w:t>
      </w:r>
      <w:proofErr w:type="spellEnd"/>
      <w:r w:rsidRPr="003D10EA">
        <w:rPr>
          <w:sz w:val="20"/>
          <w:szCs w:val="20"/>
          <w:lang w:val="pt-BR"/>
        </w:rPr>
        <w:t>:</w:t>
      </w:r>
    </w:p>
    <w:p w:rsidR="003D10EA" w:rsidRPr="003D10EA" w:rsidRDefault="003D10EA" w:rsidP="003D10EA">
      <w:pPr>
        <w:pStyle w:val="Corpodetexto"/>
        <w:spacing w:before="6" w:line="360" w:lineRule="auto"/>
        <w:ind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 xml:space="preserve">“Art. 44. No julgamento das propostas, a Comissão </w:t>
      </w:r>
      <w:r w:rsidRPr="003D10EA">
        <w:rPr>
          <w:b/>
          <w:sz w:val="20"/>
          <w:szCs w:val="20"/>
          <w:lang w:val="pt-BR"/>
        </w:rPr>
        <w:t>levará em consideração os critérios objetivos definidos no edital ou convite</w:t>
      </w:r>
      <w:r w:rsidRPr="003D10EA">
        <w:rPr>
          <w:sz w:val="20"/>
          <w:szCs w:val="20"/>
          <w:lang w:val="pt-BR"/>
        </w:rPr>
        <w:t>, os quais não devem contrariar as normas e princípios estabelecidos por esta Lei.</w:t>
      </w:r>
    </w:p>
    <w:p w:rsidR="003D10EA" w:rsidRPr="003D10EA" w:rsidRDefault="003D10EA" w:rsidP="003D10EA">
      <w:pPr>
        <w:pStyle w:val="Corpodetexto"/>
        <w:spacing w:before="6" w:line="360" w:lineRule="auto"/>
        <w:ind w:left="2268"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b/>
          <w:sz w:val="20"/>
          <w:szCs w:val="20"/>
          <w:lang w:val="pt-BR"/>
        </w:rPr>
        <w:t>Art. 45. O julgamento das propostas será objetivo, devendo a Comissão de licitação ou o responsável pelo convite realizá-lo em conformidade com os tipos de licitação, os critérios previamente estabelecidos no ato convocatório e de acordo com os fatores exclusivamente nele referidos</w:t>
      </w:r>
      <w:r w:rsidRPr="003D10EA">
        <w:rPr>
          <w:sz w:val="20"/>
          <w:szCs w:val="20"/>
          <w:lang w:val="pt-BR"/>
        </w:rPr>
        <w:t>, de maneira a possibilitar sua aferição pelos licitantes e pelos órgãos de controle.”</w:t>
      </w:r>
    </w:p>
    <w:p w:rsidR="003D10EA" w:rsidRPr="003D10EA" w:rsidRDefault="003D10EA" w:rsidP="003D10EA">
      <w:pPr>
        <w:pStyle w:val="Corpodetexto"/>
        <w:spacing w:before="6" w:line="360" w:lineRule="auto"/>
        <w:ind w:right="140"/>
        <w:jc w:val="both"/>
        <w:rPr>
          <w:sz w:val="20"/>
          <w:szCs w:val="20"/>
          <w:lang w:val="pt-BR"/>
        </w:rPr>
      </w:pPr>
    </w:p>
    <w:p w:rsidR="003D10EA" w:rsidRPr="003D10EA" w:rsidRDefault="003D10EA" w:rsidP="003D10EA">
      <w:pPr>
        <w:pStyle w:val="Corpodetexto"/>
        <w:spacing w:before="6" w:line="360" w:lineRule="auto"/>
        <w:ind w:right="140"/>
        <w:jc w:val="both"/>
        <w:rPr>
          <w:sz w:val="20"/>
          <w:szCs w:val="20"/>
          <w:lang w:val="pt-BR"/>
        </w:rPr>
      </w:pPr>
      <w:r w:rsidRPr="003D10EA">
        <w:rPr>
          <w:sz w:val="20"/>
          <w:szCs w:val="20"/>
          <w:lang w:val="pt-BR"/>
        </w:rPr>
        <w:tab/>
      </w:r>
    </w:p>
    <w:p w:rsidR="003D10EA" w:rsidRPr="003D10EA" w:rsidRDefault="003D10EA" w:rsidP="003D10EA">
      <w:pPr>
        <w:pStyle w:val="Corpodetexto"/>
        <w:spacing w:before="6" w:line="360" w:lineRule="auto"/>
        <w:ind w:right="140"/>
        <w:jc w:val="both"/>
        <w:rPr>
          <w:sz w:val="20"/>
          <w:szCs w:val="20"/>
          <w:lang w:val="pt-BR"/>
        </w:rPr>
      </w:pPr>
      <w:r w:rsidRPr="003D10EA">
        <w:rPr>
          <w:sz w:val="20"/>
          <w:szCs w:val="20"/>
          <w:lang w:val="pt-BR"/>
        </w:rPr>
        <w:tab/>
        <w:t>Destaca-se, ainda, os artigos 30, inciso I e 41 da Lei de Licitações, veja-se:</w:t>
      </w:r>
    </w:p>
    <w:p w:rsidR="003D10EA" w:rsidRPr="003D10EA" w:rsidRDefault="003D10EA" w:rsidP="003D10EA">
      <w:pPr>
        <w:pStyle w:val="Corpodetexto"/>
        <w:spacing w:before="6" w:line="360" w:lineRule="auto"/>
        <w:ind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“Art. 30. A documentação relativa à qualificação técnica limitar-se-á a:</w:t>
      </w: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I - registro ou inscrição na entidade profissional competente;</w:t>
      </w:r>
    </w:p>
    <w:p w:rsidR="003D10EA" w:rsidRPr="003D10EA" w:rsidRDefault="003D10EA" w:rsidP="003D10EA">
      <w:pPr>
        <w:pStyle w:val="Corpodetexto"/>
        <w:spacing w:before="6" w:line="360" w:lineRule="auto"/>
        <w:ind w:left="2268"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Art. 41. A Administração não pode descumprir as normas e condições do edital, ao qual se acha estritamente vinculada.</w:t>
      </w:r>
    </w:p>
    <w:p w:rsidR="003D10EA" w:rsidRPr="003D10EA" w:rsidRDefault="003D10EA" w:rsidP="003D10EA">
      <w:pPr>
        <w:pStyle w:val="Corpodetexto"/>
        <w:spacing w:before="6" w:line="360" w:lineRule="auto"/>
        <w:ind w:left="2268"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 1o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3D10EA" w:rsidRPr="003D10EA" w:rsidRDefault="003D10EA" w:rsidP="003D10EA">
      <w:pPr>
        <w:pStyle w:val="Corpodetexto"/>
        <w:spacing w:before="6" w:line="360" w:lineRule="auto"/>
        <w:ind w:left="2268"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 xml:space="preserve">§ 2o Decairá do direito de impugnar os termos do edital de licitação perante a administração o licitante que não o fizer até o segundo dia </w:t>
      </w:r>
      <w:r w:rsidRPr="003D10EA">
        <w:rPr>
          <w:sz w:val="20"/>
          <w:szCs w:val="20"/>
          <w:lang w:val="pt-BR"/>
        </w:rPr>
        <w:lastRenderedPageBreak/>
        <w:t>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w:t>
      </w:r>
    </w:p>
    <w:p w:rsidR="003D10EA" w:rsidRPr="003D10EA" w:rsidRDefault="003D10EA" w:rsidP="003D10EA">
      <w:pPr>
        <w:pStyle w:val="Corpodetexto"/>
        <w:spacing w:before="6" w:line="360" w:lineRule="auto"/>
        <w:ind w:left="2268"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 3o A impugnação feita tempestivamente pelo licitante não o impedirá de participar do processo licitatório até o trânsito em julgado da decisão a ela pertinente.</w:t>
      </w:r>
    </w:p>
    <w:p w:rsidR="003D10EA" w:rsidRPr="003D10EA" w:rsidRDefault="003D10EA" w:rsidP="003D10EA">
      <w:pPr>
        <w:pStyle w:val="Corpodetexto"/>
        <w:spacing w:before="6" w:line="360" w:lineRule="auto"/>
        <w:ind w:left="2268" w:right="140"/>
        <w:jc w:val="both"/>
        <w:rPr>
          <w:sz w:val="20"/>
          <w:szCs w:val="20"/>
          <w:lang w:val="pt-BR"/>
        </w:rPr>
      </w:pPr>
    </w:p>
    <w:p w:rsidR="003D10EA" w:rsidRPr="003D10EA" w:rsidRDefault="003D10EA" w:rsidP="003D10EA">
      <w:pPr>
        <w:pStyle w:val="Corpodetexto"/>
        <w:spacing w:before="6" w:line="360" w:lineRule="auto"/>
        <w:ind w:left="2268" w:right="140"/>
        <w:jc w:val="both"/>
        <w:rPr>
          <w:sz w:val="20"/>
          <w:szCs w:val="20"/>
          <w:lang w:val="pt-BR"/>
        </w:rPr>
      </w:pPr>
      <w:r w:rsidRPr="003D10EA">
        <w:rPr>
          <w:sz w:val="20"/>
          <w:szCs w:val="20"/>
          <w:lang w:val="pt-BR"/>
        </w:rPr>
        <w:t>§ 4o A inabilitação do licitante importa preclusão do seu direito de participar das fases subsequentes.”</w:t>
      </w:r>
    </w:p>
    <w:p w:rsidR="003D10EA" w:rsidRPr="003D10EA" w:rsidRDefault="003D10EA" w:rsidP="003D10EA">
      <w:pPr>
        <w:pStyle w:val="Corpodetexto"/>
        <w:spacing w:before="6" w:line="360" w:lineRule="auto"/>
        <w:ind w:right="140"/>
        <w:jc w:val="both"/>
        <w:rPr>
          <w:sz w:val="20"/>
          <w:szCs w:val="20"/>
          <w:lang w:val="pt-BR"/>
        </w:rPr>
      </w:pPr>
    </w:p>
    <w:p w:rsidR="003D10EA" w:rsidRPr="003D10EA" w:rsidRDefault="003D10EA" w:rsidP="003D10EA">
      <w:pPr>
        <w:pStyle w:val="Corpodetexto"/>
        <w:spacing w:before="6" w:line="360" w:lineRule="auto"/>
        <w:ind w:right="140"/>
        <w:jc w:val="both"/>
        <w:rPr>
          <w:sz w:val="20"/>
          <w:szCs w:val="20"/>
          <w:u w:val="single"/>
          <w:lang w:val="pt-BR"/>
        </w:rPr>
      </w:pPr>
    </w:p>
    <w:p w:rsidR="003D10EA" w:rsidRPr="003D10EA" w:rsidRDefault="003D10EA" w:rsidP="003D10EA">
      <w:pPr>
        <w:rPr>
          <w:b/>
          <w:sz w:val="20"/>
          <w:szCs w:val="20"/>
          <w:u w:val="single"/>
        </w:rPr>
      </w:pPr>
      <w:r w:rsidRPr="003D10EA">
        <w:rPr>
          <w:b/>
          <w:sz w:val="20"/>
          <w:szCs w:val="20"/>
          <w:u w:val="single"/>
        </w:rPr>
        <w:t>DO PEDIDO</w:t>
      </w:r>
    </w:p>
    <w:p w:rsidR="003D10EA" w:rsidRPr="003D10EA" w:rsidRDefault="003D10EA" w:rsidP="003D10EA">
      <w:pPr>
        <w:tabs>
          <w:tab w:val="left" w:pos="851"/>
        </w:tabs>
        <w:spacing w:line="360" w:lineRule="auto"/>
        <w:jc w:val="both"/>
        <w:rPr>
          <w:b/>
          <w:sz w:val="20"/>
          <w:szCs w:val="20"/>
          <w:u w:val="single"/>
        </w:rPr>
      </w:pPr>
    </w:p>
    <w:p w:rsidR="003D10EA" w:rsidRPr="003D10EA" w:rsidRDefault="003D10EA" w:rsidP="003D10EA">
      <w:pPr>
        <w:tabs>
          <w:tab w:val="left" w:pos="851"/>
        </w:tabs>
        <w:spacing w:line="360" w:lineRule="auto"/>
        <w:jc w:val="both"/>
        <w:rPr>
          <w:sz w:val="20"/>
          <w:szCs w:val="20"/>
        </w:rPr>
      </w:pPr>
      <w:r w:rsidRPr="003D10EA">
        <w:rPr>
          <w:sz w:val="20"/>
          <w:szCs w:val="20"/>
        </w:rPr>
        <w:tab/>
        <w:t>Portanto, diante de tudo ora exposto, a RECORRENTE requer digne-se V. Exa. Conhecer as razões do presente RECURSO ADMINISTRATIVO, dando-lhe PROVIMENTO, culminando assim com a  decisão em apreço, sendo a Continental</w:t>
      </w:r>
      <w:r>
        <w:rPr>
          <w:sz w:val="20"/>
          <w:szCs w:val="20"/>
        </w:rPr>
        <w:t xml:space="preserve"> portadora do CNPJ </w:t>
      </w:r>
      <w:r w:rsidR="00430328">
        <w:rPr>
          <w:sz w:val="20"/>
          <w:szCs w:val="20"/>
        </w:rPr>
        <w:t>26.263.297/0001-71</w:t>
      </w:r>
      <w:r w:rsidRPr="003D10EA">
        <w:rPr>
          <w:sz w:val="20"/>
          <w:szCs w:val="20"/>
        </w:rPr>
        <w:t xml:space="preserve"> totalmente inabilitadas do certame pelas razões acima despendidas INABTA , sendo assim, declarando-se inahabilitada para prosseguir no pleito, como medida da mais transparente Justiça!</w:t>
      </w:r>
    </w:p>
    <w:p w:rsidR="003D10EA" w:rsidRPr="003D10EA" w:rsidRDefault="003D10EA" w:rsidP="003D10EA">
      <w:pPr>
        <w:tabs>
          <w:tab w:val="left" w:pos="851"/>
        </w:tabs>
        <w:spacing w:line="360" w:lineRule="auto"/>
        <w:jc w:val="both"/>
        <w:rPr>
          <w:sz w:val="20"/>
          <w:szCs w:val="20"/>
        </w:rPr>
      </w:pPr>
      <w:r w:rsidRPr="003D10EA">
        <w:rPr>
          <w:sz w:val="20"/>
          <w:szCs w:val="20"/>
        </w:rPr>
        <w:tab/>
        <w:t>.</w:t>
      </w:r>
    </w:p>
    <w:p w:rsidR="003D10EA" w:rsidRPr="003D10EA" w:rsidRDefault="003D10EA" w:rsidP="003D10EA">
      <w:pPr>
        <w:tabs>
          <w:tab w:val="left" w:pos="851"/>
        </w:tabs>
        <w:spacing w:line="360" w:lineRule="auto"/>
        <w:jc w:val="both"/>
        <w:rPr>
          <w:sz w:val="20"/>
          <w:szCs w:val="20"/>
        </w:rPr>
      </w:pPr>
      <w:r w:rsidRPr="003D10EA">
        <w:rPr>
          <w:sz w:val="20"/>
          <w:szCs w:val="20"/>
        </w:rPr>
        <w:tab/>
        <w:t>Outrossim, lastreada nas razões recursais, requer-se que a Comissão de Licitações considere sua decisão e, não sendo este o entendimento, faça este recurso subir, devidamente informado, à autoridade superior, em conformidade com o parágrafo 4º, do artigo 109, da Lei nº 8.666/1993, observando-se ainda o disposto no parágrafo 3º do mesmo artigo.</w:t>
      </w:r>
    </w:p>
    <w:p w:rsidR="003D10EA" w:rsidRPr="003D10EA" w:rsidRDefault="003D10EA" w:rsidP="003D10EA">
      <w:pPr>
        <w:tabs>
          <w:tab w:val="left" w:pos="851"/>
        </w:tabs>
        <w:spacing w:line="360" w:lineRule="auto"/>
        <w:jc w:val="both"/>
        <w:rPr>
          <w:sz w:val="20"/>
          <w:szCs w:val="20"/>
        </w:rPr>
      </w:pPr>
      <w:r w:rsidRPr="003D10EA">
        <w:rPr>
          <w:sz w:val="20"/>
          <w:szCs w:val="20"/>
        </w:rPr>
        <w:tab/>
        <w:t>Nesses termos,</w:t>
      </w:r>
    </w:p>
    <w:p w:rsidR="003D10EA" w:rsidRPr="003D10EA" w:rsidRDefault="003D10EA" w:rsidP="003D10EA">
      <w:pPr>
        <w:tabs>
          <w:tab w:val="left" w:pos="851"/>
        </w:tabs>
        <w:spacing w:line="360" w:lineRule="auto"/>
        <w:jc w:val="both"/>
        <w:rPr>
          <w:sz w:val="20"/>
          <w:szCs w:val="20"/>
        </w:rPr>
      </w:pPr>
      <w:r w:rsidRPr="003D10EA">
        <w:rPr>
          <w:sz w:val="20"/>
          <w:szCs w:val="20"/>
        </w:rPr>
        <w:tab/>
        <w:t>Pede deferimento.</w:t>
      </w:r>
    </w:p>
    <w:p w:rsidR="003D10EA" w:rsidRPr="003D10EA" w:rsidRDefault="003D10EA" w:rsidP="003D10EA">
      <w:pPr>
        <w:tabs>
          <w:tab w:val="left" w:pos="851"/>
        </w:tabs>
        <w:spacing w:line="360" w:lineRule="auto"/>
        <w:jc w:val="center"/>
        <w:rPr>
          <w:sz w:val="20"/>
          <w:szCs w:val="20"/>
        </w:rPr>
      </w:pPr>
    </w:p>
    <w:p w:rsidR="003D10EA" w:rsidRPr="003D10EA" w:rsidRDefault="003D10EA" w:rsidP="003D10EA">
      <w:pPr>
        <w:rPr>
          <w:sz w:val="20"/>
          <w:szCs w:val="20"/>
        </w:rPr>
      </w:pPr>
      <w:r w:rsidRPr="003D10EA">
        <w:rPr>
          <w:noProof/>
          <w:sz w:val="20"/>
          <w:szCs w:val="20"/>
          <w:lang w:val="pt-BR" w:eastAsia="pt-BR" w:bidi="ar-SA"/>
        </w:rPr>
        <w:drawing>
          <wp:anchor distT="0" distB="0" distL="0" distR="0" simplePos="0" relativeHeight="251662336" behindDoc="0" locked="0" layoutInCell="1" allowOverlap="1" wp14:anchorId="389F64AE" wp14:editId="55E63E0D">
            <wp:simplePos x="0" y="0"/>
            <wp:positionH relativeFrom="page">
              <wp:posOffset>2985135</wp:posOffset>
            </wp:positionH>
            <wp:positionV relativeFrom="paragraph">
              <wp:posOffset>469900</wp:posOffset>
            </wp:positionV>
            <wp:extent cx="1952625" cy="930910"/>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a:picLocks noChangeAspect="1" noChangeArrowheads="1"/>
                    </pic:cNvPicPr>
                  </pic:nvPicPr>
                  <pic:blipFill>
                    <a:blip r:embed="rId9"/>
                    <a:stretch>
                      <a:fillRect/>
                    </a:stretch>
                  </pic:blipFill>
                  <pic:spPr bwMode="auto">
                    <a:xfrm>
                      <a:off x="0" y="0"/>
                      <a:ext cx="1952625" cy="930910"/>
                    </a:xfrm>
                    <a:prstGeom prst="rect">
                      <a:avLst/>
                    </a:prstGeom>
                  </pic:spPr>
                </pic:pic>
              </a:graphicData>
            </a:graphic>
          </wp:anchor>
        </w:drawing>
      </w:r>
    </w:p>
    <w:p w:rsidR="003D10EA" w:rsidRPr="003D10EA" w:rsidRDefault="003D10EA" w:rsidP="003D10EA">
      <w:pPr>
        <w:pStyle w:val="Corpodetexto"/>
        <w:spacing w:line="360" w:lineRule="auto"/>
        <w:ind w:right="140"/>
        <w:jc w:val="center"/>
        <w:rPr>
          <w:sz w:val="20"/>
          <w:szCs w:val="20"/>
          <w:lang w:val="pt-BR"/>
        </w:rPr>
      </w:pPr>
    </w:p>
    <w:p w:rsidR="003D10EA" w:rsidRPr="003D10EA" w:rsidRDefault="003D10EA" w:rsidP="003D10EA">
      <w:pPr>
        <w:pStyle w:val="Corpodetexto"/>
        <w:spacing w:before="5" w:line="360" w:lineRule="auto"/>
        <w:ind w:right="140"/>
        <w:jc w:val="center"/>
        <w:rPr>
          <w:b/>
          <w:sz w:val="20"/>
          <w:szCs w:val="20"/>
          <w:lang w:val="pt-BR"/>
        </w:rPr>
      </w:pPr>
      <w:r w:rsidRPr="003D10EA">
        <w:rPr>
          <w:b/>
          <w:sz w:val="20"/>
          <w:szCs w:val="20"/>
          <w:lang w:val="pt-BR"/>
        </w:rPr>
        <w:t>Benedito Rodrigues da Costa</w:t>
      </w:r>
    </w:p>
    <w:p w:rsidR="003D10EA" w:rsidRPr="003D10EA" w:rsidRDefault="003D10EA" w:rsidP="003D10EA">
      <w:pPr>
        <w:pStyle w:val="Ttulo1"/>
        <w:spacing w:line="360" w:lineRule="auto"/>
        <w:ind w:left="0" w:right="140"/>
        <w:rPr>
          <w:rFonts w:eastAsiaTheme="minorHAnsi"/>
          <w:bCs w:val="0"/>
          <w:sz w:val="20"/>
          <w:szCs w:val="20"/>
          <w:lang w:val="pt-BR" w:eastAsia="en-US" w:bidi="ar-SA"/>
        </w:rPr>
      </w:pPr>
      <w:r w:rsidRPr="003D10EA">
        <w:rPr>
          <w:rFonts w:eastAsiaTheme="minorHAnsi"/>
          <w:bCs w:val="0"/>
          <w:sz w:val="20"/>
          <w:szCs w:val="20"/>
          <w:lang w:val="pt-BR" w:eastAsia="en-US" w:bidi="ar-SA"/>
        </w:rPr>
        <w:t>CREA 17484 D PA</w:t>
      </w:r>
    </w:p>
    <w:p w:rsidR="003D10EA" w:rsidRPr="003D10EA" w:rsidRDefault="003D10EA" w:rsidP="003D10EA">
      <w:pPr>
        <w:spacing w:after="160" w:line="259" w:lineRule="auto"/>
        <w:rPr>
          <w:sz w:val="20"/>
          <w:szCs w:val="20"/>
          <w:lang w:val="pt-BR"/>
        </w:rPr>
      </w:pPr>
      <w:r w:rsidRPr="003D10EA">
        <w:rPr>
          <w:sz w:val="20"/>
          <w:szCs w:val="20"/>
          <w:lang w:val="pt-BR"/>
        </w:rPr>
        <w:br w:type="page"/>
      </w:r>
    </w:p>
    <w:p w:rsidR="003D10EA" w:rsidRPr="003D10EA" w:rsidRDefault="003D10EA" w:rsidP="00EA455C">
      <w:pPr>
        <w:pStyle w:val="Corpodetexto"/>
        <w:spacing w:before="5"/>
        <w:ind w:right="498"/>
        <w:jc w:val="center"/>
        <w:rPr>
          <w:sz w:val="20"/>
          <w:szCs w:val="20"/>
        </w:rPr>
      </w:pPr>
    </w:p>
    <w:p w:rsidR="003D10EA" w:rsidRPr="003D10EA" w:rsidRDefault="003D10EA" w:rsidP="00EA455C">
      <w:pPr>
        <w:pStyle w:val="Corpodetexto"/>
        <w:spacing w:before="5"/>
        <w:ind w:right="498"/>
        <w:jc w:val="center"/>
        <w:rPr>
          <w:sz w:val="20"/>
          <w:szCs w:val="20"/>
        </w:rPr>
      </w:pPr>
    </w:p>
    <w:p w:rsidR="003D10EA" w:rsidRPr="003D10EA" w:rsidRDefault="003D10EA" w:rsidP="00EA455C">
      <w:pPr>
        <w:pStyle w:val="Corpodetexto"/>
        <w:spacing w:before="5"/>
        <w:ind w:right="498"/>
        <w:jc w:val="center"/>
        <w:rPr>
          <w:sz w:val="20"/>
          <w:szCs w:val="20"/>
        </w:rPr>
      </w:pPr>
    </w:p>
    <w:p w:rsidR="003D10EA" w:rsidRPr="003D10EA" w:rsidRDefault="003D10EA" w:rsidP="00EA455C">
      <w:pPr>
        <w:pStyle w:val="Corpodetexto"/>
        <w:spacing w:before="5"/>
        <w:ind w:right="498"/>
        <w:jc w:val="center"/>
        <w:rPr>
          <w:sz w:val="20"/>
          <w:szCs w:val="20"/>
        </w:rPr>
      </w:pPr>
    </w:p>
    <w:p w:rsidR="003D10EA" w:rsidRPr="003D10EA" w:rsidRDefault="003D10EA" w:rsidP="00EA455C">
      <w:pPr>
        <w:pStyle w:val="Corpodetexto"/>
        <w:spacing w:before="5"/>
        <w:ind w:right="498"/>
        <w:jc w:val="center"/>
        <w:rPr>
          <w:sz w:val="20"/>
          <w:szCs w:val="20"/>
        </w:rPr>
      </w:pPr>
    </w:p>
    <w:p w:rsidR="00EA455C" w:rsidRPr="003D10EA" w:rsidRDefault="00EA455C" w:rsidP="00EA455C">
      <w:pPr>
        <w:ind w:right="498"/>
        <w:jc w:val="both"/>
        <w:rPr>
          <w:sz w:val="20"/>
          <w:szCs w:val="20"/>
        </w:rPr>
      </w:pPr>
    </w:p>
    <w:p w:rsidR="00EA455C" w:rsidRPr="003D10EA" w:rsidRDefault="00EA455C" w:rsidP="00EA455C">
      <w:pPr>
        <w:pStyle w:val="Corpodetexto"/>
        <w:ind w:right="498"/>
        <w:jc w:val="both"/>
        <w:rPr>
          <w:b/>
          <w:sz w:val="20"/>
          <w:szCs w:val="20"/>
        </w:rPr>
      </w:pPr>
    </w:p>
    <w:p w:rsidR="00EA455C" w:rsidRPr="003D10EA" w:rsidRDefault="00EA455C" w:rsidP="00EA455C">
      <w:pPr>
        <w:pStyle w:val="Corpodetexto"/>
        <w:ind w:right="498"/>
        <w:jc w:val="both"/>
        <w:rPr>
          <w:b/>
          <w:sz w:val="20"/>
          <w:szCs w:val="20"/>
        </w:rPr>
      </w:pPr>
    </w:p>
    <w:p w:rsidR="00EA455C" w:rsidRPr="003D10EA" w:rsidRDefault="00EA455C">
      <w:pPr>
        <w:rPr>
          <w:sz w:val="20"/>
          <w:szCs w:val="20"/>
        </w:rPr>
      </w:pPr>
    </w:p>
    <w:sectPr w:rsidR="00EA455C" w:rsidRPr="003D1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27789"/>
    <w:multiLevelType w:val="hybridMultilevel"/>
    <w:tmpl w:val="08DE7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5C"/>
    <w:rsid w:val="003D10EA"/>
    <w:rsid w:val="00430328"/>
    <w:rsid w:val="00A21862"/>
    <w:rsid w:val="00CF5CD4"/>
    <w:rsid w:val="00EA4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D9A0-F711-42A4-82D8-1B1B6A81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5C"/>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EA455C"/>
    <w:pPr>
      <w:ind w:left="2440" w:right="107"/>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A455C"/>
    <w:pPr>
      <w:autoSpaceDE w:val="0"/>
      <w:autoSpaceDN w:val="0"/>
      <w:adjustRightInd w:val="0"/>
      <w:spacing w:after="0" w:line="240" w:lineRule="auto"/>
    </w:pPr>
    <w:rPr>
      <w:rFonts w:ascii="Verdana" w:hAnsi="Verdana" w:cs="Verdana"/>
      <w:color w:val="000000"/>
      <w:sz w:val="24"/>
      <w:szCs w:val="24"/>
    </w:rPr>
  </w:style>
  <w:style w:type="paragraph" w:styleId="Corpodetexto">
    <w:name w:val="Body Text"/>
    <w:basedOn w:val="Normal"/>
    <w:link w:val="CorpodetextoChar"/>
    <w:uiPriority w:val="1"/>
    <w:qFormat/>
    <w:rsid w:val="00EA455C"/>
    <w:rPr>
      <w:sz w:val="24"/>
      <w:szCs w:val="24"/>
    </w:rPr>
  </w:style>
  <w:style w:type="character" w:customStyle="1" w:styleId="CorpodetextoChar">
    <w:name w:val="Corpo de texto Char"/>
    <w:basedOn w:val="Fontepargpadro"/>
    <w:link w:val="Corpodetexto"/>
    <w:uiPriority w:val="1"/>
    <w:rsid w:val="00EA455C"/>
    <w:rPr>
      <w:rFonts w:ascii="Arial" w:eastAsia="Arial" w:hAnsi="Arial" w:cs="Arial"/>
      <w:sz w:val="24"/>
      <w:szCs w:val="24"/>
      <w:lang w:val="pt-PT" w:eastAsia="pt-PT" w:bidi="pt-PT"/>
    </w:rPr>
  </w:style>
  <w:style w:type="character" w:customStyle="1" w:styleId="Ttulo1Char">
    <w:name w:val="Título 1 Char"/>
    <w:basedOn w:val="Fontepargpadro"/>
    <w:link w:val="Ttulo1"/>
    <w:uiPriority w:val="9"/>
    <w:rsid w:val="00EA455C"/>
    <w:rPr>
      <w:rFonts w:ascii="Arial" w:eastAsia="Arial" w:hAnsi="Arial" w:cs="Arial"/>
      <w:b/>
      <w:bCs/>
      <w:sz w:val="24"/>
      <w:szCs w:val="24"/>
      <w:lang w:val="pt-PT" w:eastAsia="pt-PT" w:bidi="pt-PT"/>
    </w:rPr>
  </w:style>
  <w:style w:type="character" w:customStyle="1" w:styleId="Link">
    <w:name w:val="Link"/>
    <w:basedOn w:val="CorpodetextoChar"/>
    <w:qFormat/>
    <w:rsid w:val="003D10EA"/>
    <w:rPr>
      <w:rFonts w:ascii="Arial" w:eastAsia="Arial" w:hAnsi="Arial" w:cs="Arial"/>
      <w:color w:val="5B9BD5" w:themeColor="accent1"/>
      <w:sz w:val="24"/>
      <w:szCs w:val="24"/>
      <w:lang w:val="pt-PT" w:eastAsia="pt-PT" w:bidi="pt-PT"/>
    </w:rPr>
  </w:style>
  <w:style w:type="paragraph" w:styleId="PargrafodaLista">
    <w:name w:val="List Paragraph"/>
    <w:basedOn w:val="Normal"/>
    <w:uiPriority w:val="34"/>
    <w:qFormat/>
    <w:rsid w:val="003D10EA"/>
    <w:pPr>
      <w:widowControl/>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55571402/constitui&#231;&#227;o-federal-constitui&#231;&#227;o-da-republica-federativa-do-brasil-1988" TargetMode="External"/><Relationship Id="rId3" Type="http://schemas.openxmlformats.org/officeDocument/2006/relationships/settings" Target="settings.xml"/><Relationship Id="rId7" Type="http://schemas.openxmlformats.org/officeDocument/2006/relationships/hyperlink" Target="http://www.jusbrasil.com.br/legislacao/155571402/constitui&#231;&#227;o-federal-constitui&#231;&#227;o-da-republica-federativa-do-brasil-1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brasil.com.br/legislacao/1027021/lei-de-licita&#231;&#245;es-lei-8666-9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1222</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2019-11-10T22:07:00Z</dcterms:created>
  <dcterms:modified xsi:type="dcterms:W3CDTF">2019-11-11T00:34:00Z</dcterms:modified>
</cp:coreProperties>
</file>